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3D" w:rsidRDefault="0056573D">
      <w:pPr>
        <w:pStyle w:val="Title"/>
      </w:pPr>
      <w:r>
        <w:t>Montana Judicial Branch</w:t>
      </w:r>
    </w:p>
    <w:p w:rsidR="0056573D" w:rsidRDefault="0056573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28"/>
        </w:rPr>
        <w:t>Policies &amp; Procedures</w:t>
      </w:r>
    </w:p>
    <w:p w:rsidR="0056573D" w:rsidRDefault="0056573D">
      <w:pPr>
        <w:rPr>
          <w:rFonts w:ascii="Arial" w:hAnsi="Arial" w:cs="Arial"/>
          <w:b/>
          <w:sz w:val="32"/>
        </w:rPr>
      </w:pPr>
    </w:p>
    <w:p w:rsidR="0056573D" w:rsidRDefault="0056573D">
      <w:pPr>
        <w:rPr>
          <w:rFonts w:ascii="Arial" w:hAnsi="Arial" w:cs="Arial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3870"/>
      </w:tblGrid>
      <w:tr w:rsidR="0056573D">
        <w:tc>
          <w:tcPr>
            <w:tcW w:w="5688" w:type="dxa"/>
          </w:tcPr>
          <w:p w:rsidR="0056573D" w:rsidRDefault="0056573D" w:rsidP="006D598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Subject:  Youth Drug Testing </w:t>
            </w:r>
          </w:p>
        </w:tc>
        <w:tc>
          <w:tcPr>
            <w:tcW w:w="3870" w:type="dxa"/>
          </w:tcPr>
          <w:p w:rsidR="0056573D" w:rsidRDefault="0056573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Policy No.: 1260</w:t>
            </w:r>
          </w:p>
        </w:tc>
      </w:tr>
      <w:tr w:rsidR="0056573D">
        <w:tc>
          <w:tcPr>
            <w:tcW w:w="5688" w:type="dxa"/>
          </w:tcPr>
          <w:p w:rsidR="0056573D" w:rsidRDefault="0056573D" w:rsidP="006D598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Chapter: </w:t>
            </w:r>
            <w:r w:rsidR="00397B80" w:rsidRPr="006D598F">
              <w:rPr>
                <w:rFonts w:ascii="Arial" w:hAnsi="Arial" w:cs="Arial"/>
                <w:b/>
                <w:sz w:val="24"/>
              </w:rPr>
              <w:t>Title 41, chapter 5</w:t>
            </w:r>
            <w:r w:rsidRPr="00397B80">
              <w:rPr>
                <w:rFonts w:ascii="Arial" w:hAnsi="Arial" w:cs="Arial"/>
                <w:b/>
                <w:sz w:val="24"/>
              </w:rPr>
              <w:t>,</w:t>
            </w:r>
            <w:r>
              <w:rPr>
                <w:rFonts w:ascii="Arial" w:hAnsi="Arial" w:cs="Arial"/>
                <w:b/>
                <w:sz w:val="24"/>
              </w:rPr>
              <w:t xml:space="preserve"> MCA</w:t>
            </w:r>
          </w:p>
        </w:tc>
        <w:tc>
          <w:tcPr>
            <w:tcW w:w="3870" w:type="dxa"/>
          </w:tcPr>
          <w:p w:rsidR="0056573D" w:rsidRDefault="0056573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Pages: 2</w:t>
            </w:r>
          </w:p>
        </w:tc>
      </w:tr>
      <w:tr w:rsidR="0056573D">
        <w:tc>
          <w:tcPr>
            <w:tcW w:w="5688" w:type="dxa"/>
          </w:tcPr>
          <w:p w:rsidR="0056573D" w:rsidRDefault="0056573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Section:  Youth</w:t>
            </w:r>
          </w:p>
        </w:tc>
        <w:tc>
          <w:tcPr>
            <w:tcW w:w="3870" w:type="dxa"/>
          </w:tcPr>
          <w:p w:rsidR="0056573D" w:rsidRPr="0056573D" w:rsidRDefault="0056573D" w:rsidP="00DD3F6A">
            <w:pPr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Revision Date: </w:t>
            </w:r>
            <w:r w:rsidR="00FD2DAF">
              <w:rPr>
                <w:rFonts w:ascii="Arial" w:hAnsi="Arial" w:cs="Arial"/>
                <w:b/>
                <w:sz w:val="24"/>
              </w:rPr>
              <w:t>May 31, 2016</w:t>
            </w:r>
          </w:p>
        </w:tc>
      </w:tr>
      <w:tr w:rsidR="0056573D">
        <w:tc>
          <w:tcPr>
            <w:tcW w:w="5688" w:type="dxa"/>
          </w:tcPr>
          <w:p w:rsidR="0056573D" w:rsidRDefault="005657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70" w:type="dxa"/>
          </w:tcPr>
          <w:p w:rsidR="0056573D" w:rsidRDefault="0056573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Effective Date: </w:t>
            </w:r>
            <w:r w:rsidR="00FD2DAF">
              <w:rPr>
                <w:rFonts w:ascii="Arial" w:hAnsi="Arial" w:cs="Arial"/>
                <w:b/>
                <w:sz w:val="24"/>
              </w:rPr>
              <w:t>June 21, 2011</w:t>
            </w:r>
          </w:p>
        </w:tc>
      </w:tr>
    </w:tbl>
    <w:p w:rsidR="0056573D" w:rsidRDefault="0056573D">
      <w:pPr>
        <w:rPr>
          <w:rFonts w:ascii="Arial" w:hAnsi="Arial" w:cs="Arial"/>
          <w:b/>
          <w:sz w:val="22"/>
        </w:rPr>
      </w:pPr>
    </w:p>
    <w:p w:rsidR="0056573D" w:rsidRDefault="0056573D" w:rsidP="00DE750B">
      <w:pPr>
        <w:pStyle w:val="Heading2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POLICY</w:t>
      </w:r>
    </w:p>
    <w:p w:rsidR="0056573D" w:rsidRDefault="0056573D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:rsidR="0056573D" w:rsidRDefault="005657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Montana Judicial Branch recognizes that drug t</w:t>
      </w:r>
      <w:bookmarkStart w:id="0" w:name="_GoBack"/>
      <w:bookmarkEnd w:id="0"/>
      <w:r>
        <w:rPr>
          <w:rFonts w:ascii="Arial" w:hAnsi="Arial" w:cs="Arial"/>
          <w:sz w:val="22"/>
        </w:rPr>
        <w:t xml:space="preserve">esting in the Youth Court is a necessary expense of the Youth Court. It is the policy of the Montana Judicial Branch to provide for the most cost-effective method of drug testing when drug testing a youth under the authority of the Youth Court. </w:t>
      </w:r>
    </w:p>
    <w:p w:rsidR="0056573D" w:rsidRDefault="005657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</w:rPr>
      </w:pPr>
    </w:p>
    <w:p w:rsidR="0056573D" w:rsidRDefault="0056573D" w:rsidP="00DE750B">
      <w:pPr>
        <w:pStyle w:val="Heading2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DEFINITIONS</w:t>
      </w:r>
    </w:p>
    <w:p w:rsidR="0056573D" w:rsidRDefault="0056573D">
      <w:pPr>
        <w:pStyle w:val="PlainText"/>
        <w:tabs>
          <w:tab w:val="left" w:pos="7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A125B3" w:rsidRDefault="0056573D" w:rsidP="00DE750B">
      <w:pPr>
        <w:pStyle w:val="PlainText"/>
        <w:numPr>
          <w:ilvl w:val="0"/>
          <w:numId w:val="6"/>
        </w:numPr>
        <w:tabs>
          <w:tab w:val="left" w:pos="360"/>
          <w:tab w:val="left" w:pos="450"/>
          <w:tab w:val="left" w:pos="720"/>
        </w:tabs>
        <w:jc w:val="both"/>
        <w:rPr>
          <w:rFonts w:ascii="Arial" w:hAnsi="Arial" w:cs="Arial"/>
          <w:sz w:val="22"/>
        </w:rPr>
      </w:pPr>
      <w:r w:rsidRPr="00A125B3">
        <w:rPr>
          <w:rFonts w:ascii="Arial" w:hAnsi="Arial" w:cs="Arial"/>
          <w:sz w:val="22"/>
        </w:rPr>
        <w:t>“Drug testing” is the screening of juveniles to determine their use of alcohol, cannabis, cocaine, amphetamines/methamphetamines, hallucinogens, narcotics, analgesics, inhalants, or phencyclidine (PCP).  Drug testing may include the use of hair analysis, sweat analysis, oral fluid testing, blood testing, breath analysis, and urine testing to screen for drugs.</w:t>
      </w:r>
    </w:p>
    <w:p w:rsidR="00A125B3" w:rsidRDefault="00A125B3" w:rsidP="00A125B3">
      <w:pPr>
        <w:pStyle w:val="PlainText"/>
        <w:tabs>
          <w:tab w:val="left" w:pos="450"/>
          <w:tab w:val="left" w:pos="720"/>
        </w:tabs>
        <w:ind w:left="780"/>
        <w:jc w:val="both"/>
        <w:rPr>
          <w:rFonts w:ascii="Arial" w:hAnsi="Arial" w:cs="Arial"/>
          <w:sz w:val="22"/>
        </w:rPr>
      </w:pPr>
    </w:p>
    <w:p w:rsidR="0056573D" w:rsidRPr="00A125B3" w:rsidRDefault="0056573D" w:rsidP="00DE750B">
      <w:pPr>
        <w:pStyle w:val="PlainText"/>
        <w:numPr>
          <w:ilvl w:val="0"/>
          <w:numId w:val="6"/>
        </w:numPr>
        <w:tabs>
          <w:tab w:val="left" w:pos="360"/>
          <w:tab w:val="left" w:pos="450"/>
          <w:tab w:val="left" w:pos="720"/>
        </w:tabs>
        <w:jc w:val="both"/>
        <w:rPr>
          <w:rFonts w:ascii="Arial" w:hAnsi="Arial" w:cs="Arial"/>
          <w:sz w:val="22"/>
        </w:rPr>
      </w:pPr>
      <w:r w:rsidRPr="00A125B3">
        <w:rPr>
          <w:rFonts w:ascii="Arial" w:hAnsi="Arial" w:cs="Arial"/>
          <w:sz w:val="22"/>
        </w:rPr>
        <w:t xml:space="preserve">“Field test” is a test utilized for drug testing that gives the results within ten minutes of testing of the sample. </w:t>
      </w:r>
    </w:p>
    <w:p w:rsidR="0056573D" w:rsidRDefault="0056573D">
      <w:pPr>
        <w:pStyle w:val="PlainText"/>
        <w:tabs>
          <w:tab w:val="left" w:pos="720"/>
        </w:tabs>
        <w:jc w:val="both"/>
        <w:rPr>
          <w:rFonts w:ascii="Arial" w:hAnsi="Arial" w:cs="Arial"/>
          <w:sz w:val="22"/>
        </w:rPr>
      </w:pPr>
    </w:p>
    <w:p w:rsidR="0056573D" w:rsidRDefault="0056573D">
      <w:pPr>
        <w:pStyle w:val="BodyText2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3.0 </w:t>
      </w:r>
      <w:r>
        <w:rPr>
          <w:b/>
          <w:bCs/>
          <w:caps/>
          <w:sz w:val="24"/>
        </w:rPr>
        <w:tab/>
        <w:t>Procedure</w:t>
      </w:r>
    </w:p>
    <w:p w:rsidR="0056573D" w:rsidRDefault="0056573D">
      <w:pPr>
        <w:pStyle w:val="BodyText2"/>
      </w:pPr>
    </w:p>
    <w:p w:rsidR="0056573D" w:rsidRDefault="0056573D" w:rsidP="00DE750B">
      <w:pPr>
        <w:pStyle w:val="BodyText2"/>
        <w:numPr>
          <w:ilvl w:val="0"/>
          <w:numId w:val="3"/>
        </w:numPr>
      </w:pPr>
      <w:r>
        <w:t>Youth Testing Materials:</w:t>
      </w:r>
    </w:p>
    <w:p w:rsidR="0056573D" w:rsidRDefault="0056573D">
      <w:pPr>
        <w:pStyle w:val="BodyText2"/>
        <w:ind w:left="360"/>
      </w:pPr>
    </w:p>
    <w:p w:rsidR="0056573D" w:rsidRDefault="0056573D" w:rsidP="00DE750B">
      <w:pPr>
        <w:pStyle w:val="BodyText2"/>
        <w:numPr>
          <w:ilvl w:val="1"/>
          <w:numId w:val="3"/>
        </w:numPr>
      </w:pPr>
      <w:r>
        <w:t xml:space="preserve">The standard testing method </w:t>
      </w:r>
      <w:r w:rsidR="00A125B3" w:rsidRPr="006D598F">
        <w:t>is</w:t>
      </w:r>
      <w:r w:rsidR="00A125B3">
        <w:t xml:space="preserve"> </w:t>
      </w:r>
      <w:r>
        <w:t xml:space="preserve">urine testing, but other forms of testing may be utilized depending upon the circumstances and at the discretion of the </w:t>
      </w:r>
      <w:r w:rsidR="00A125B3" w:rsidRPr="006D598F">
        <w:t>juvenile</w:t>
      </w:r>
      <w:r w:rsidR="00A125B3">
        <w:t xml:space="preserve"> </w:t>
      </w:r>
      <w:r>
        <w:t>probation officer.</w:t>
      </w:r>
    </w:p>
    <w:p w:rsidR="0056573D" w:rsidRDefault="00DD3F6A" w:rsidP="00DE750B">
      <w:pPr>
        <w:pStyle w:val="BodyText2"/>
        <w:numPr>
          <w:ilvl w:val="1"/>
          <w:numId w:val="3"/>
        </w:numPr>
      </w:pPr>
      <w:r>
        <w:t>If juvenil</w:t>
      </w:r>
      <w:r w:rsidR="00FD2DAF">
        <w:t xml:space="preserve">e probation </w:t>
      </w:r>
      <w:r>
        <w:t>staff</w:t>
      </w:r>
      <w:r w:rsidR="00FD2DAF">
        <w:t xml:space="preserve"> </w:t>
      </w:r>
      <w:r>
        <w:t>are administering the tests, the t</w:t>
      </w:r>
      <w:r w:rsidR="0056573D">
        <w:t xml:space="preserve">ests and other necessary materials will be purchased using the </w:t>
      </w:r>
      <w:r w:rsidR="00011DA9">
        <w:t>Minnesota Multistate Contracting Alliance for Pharmacy (MMCAP)</w:t>
      </w:r>
      <w:r w:rsidR="0056573D">
        <w:t xml:space="preserve">.  </w:t>
      </w:r>
    </w:p>
    <w:p w:rsidR="0056573D" w:rsidRDefault="0056573D" w:rsidP="00DE750B">
      <w:pPr>
        <w:pStyle w:val="BodyText2"/>
        <w:numPr>
          <w:ilvl w:val="1"/>
          <w:numId w:val="3"/>
        </w:numPr>
      </w:pPr>
      <w:r>
        <w:t xml:space="preserve">Chief </w:t>
      </w:r>
      <w:r w:rsidRPr="006D598F">
        <w:t>juvenile</w:t>
      </w:r>
      <w:r>
        <w:t xml:space="preserve"> probation officers may purchase kits from other vendors </w:t>
      </w:r>
      <w:r w:rsidR="006D598F">
        <w:t>if</w:t>
      </w:r>
      <w:r>
        <w:t xml:space="preserve"> the price is cheaper or the desired product is unavailable through the state term contract. </w:t>
      </w:r>
    </w:p>
    <w:p w:rsidR="00103235" w:rsidRDefault="00103235" w:rsidP="00103235">
      <w:pPr>
        <w:rPr>
          <w:rFonts w:ascii="Arial" w:hAnsi="Arial" w:cs="Arial"/>
          <w:sz w:val="22"/>
        </w:rPr>
      </w:pPr>
    </w:p>
    <w:p w:rsidR="0056573D" w:rsidRPr="00103235" w:rsidRDefault="0056573D" w:rsidP="005A38A4">
      <w:pPr>
        <w:ind w:left="432"/>
        <w:rPr>
          <w:rFonts w:ascii="Arial" w:hAnsi="Arial" w:cs="Arial"/>
          <w:sz w:val="22"/>
          <w:szCs w:val="22"/>
        </w:rPr>
      </w:pPr>
      <w:r w:rsidRPr="00103235">
        <w:rPr>
          <w:rFonts w:ascii="Arial" w:hAnsi="Arial" w:cs="Arial"/>
          <w:sz w:val="22"/>
          <w:szCs w:val="22"/>
        </w:rPr>
        <w:t xml:space="preserve">B.  Chain of Custody Procedures:  The </w:t>
      </w:r>
      <w:r w:rsidR="00D70334" w:rsidRPr="00103235">
        <w:rPr>
          <w:rFonts w:ascii="Arial" w:hAnsi="Arial" w:cs="Arial"/>
          <w:sz w:val="22"/>
          <w:szCs w:val="22"/>
        </w:rPr>
        <w:t xml:space="preserve">person(s) </w:t>
      </w:r>
      <w:r w:rsidRPr="00103235">
        <w:rPr>
          <w:rFonts w:ascii="Arial" w:hAnsi="Arial" w:cs="Arial"/>
          <w:sz w:val="22"/>
          <w:szCs w:val="22"/>
        </w:rPr>
        <w:t xml:space="preserve">responsible for collecting and testing samples shall be trained in the collection, handling, recording and storing of a sample to assure sample viability. Training may be conducted in person, through video or by video conferencing. </w:t>
      </w:r>
    </w:p>
    <w:p w:rsidR="0056573D" w:rsidRDefault="0056573D">
      <w:pPr>
        <w:pStyle w:val="BodyText2"/>
        <w:tabs>
          <w:tab w:val="left" w:pos="1125"/>
        </w:tabs>
        <w:ind w:left="720"/>
      </w:pPr>
      <w:r>
        <w:tab/>
      </w:r>
    </w:p>
    <w:p w:rsidR="0056573D" w:rsidRDefault="0056573D" w:rsidP="00DE750B">
      <w:pPr>
        <w:pStyle w:val="BodyText2"/>
        <w:numPr>
          <w:ilvl w:val="0"/>
          <w:numId w:val="4"/>
        </w:numPr>
        <w:tabs>
          <w:tab w:val="left" w:pos="1125"/>
        </w:tabs>
      </w:pPr>
      <w:r>
        <w:t xml:space="preserve">  </w:t>
      </w:r>
      <w:r w:rsidR="003F0109">
        <w:t>When a youth’s probation agreement requires drug testing, lab confirmation is not required for each drug test.</w:t>
      </w:r>
      <w:r>
        <w:t xml:space="preserve">  If a positive test occurs, the youth shall be given the opportunity to provide a written admission of recent use.  If the </w:t>
      </w:r>
      <w:r>
        <w:lastRenderedPageBreak/>
        <w:t xml:space="preserve">offender refuses to prepare a statement of use or denies usage, the test </w:t>
      </w:r>
      <w:r w:rsidRPr="006D598F">
        <w:t>must</w:t>
      </w:r>
      <w:r>
        <w:t xml:space="preserve"> be sent to the laboratory for confirmation.  </w:t>
      </w:r>
    </w:p>
    <w:p w:rsidR="0056573D" w:rsidRDefault="0056573D" w:rsidP="00DE750B">
      <w:pPr>
        <w:pStyle w:val="BodyText2"/>
        <w:numPr>
          <w:ilvl w:val="0"/>
          <w:numId w:val="4"/>
        </w:numPr>
        <w:tabs>
          <w:tab w:val="left" w:pos="1125"/>
        </w:tabs>
      </w:pPr>
      <w:r>
        <w:t xml:space="preserve">  If the sample is </w:t>
      </w:r>
      <w:r w:rsidRPr="006D598F">
        <w:t>required</w:t>
      </w:r>
      <w:r>
        <w:t xml:space="preserve"> to be sent to the laboratory, the staff shall follow all procedures in the term contract to ensure chain of custody compliance.</w:t>
      </w:r>
    </w:p>
    <w:p w:rsidR="0056573D" w:rsidRDefault="0056573D" w:rsidP="00103235">
      <w:pPr>
        <w:pStyle w:val="BodyText2"/>
        <w:tabs>
          <w:tab w:val="left" w:pos="1125"/>
        </w:tabs>
        <w:ind w:left="1140"/>
      </w:pPr>
    </w:p>
    <w:p w:rsidR="0056573D" w:rsidRDefault="0056573D">
      <w:pPr>
        <w:pStyle w:val="BodyText2"/>
        <w:tabs>
          <w:tab w:val="left" w:pos="1125"/>
        </w:tabs>
      </w:pPr>
    </w:p>
    <w:p w:rsidR="0056573D" w:rsidRDefault="0056573D" w:rsidP="002F3716">
      <w:pPr>
        <w:pStyle w:val="BodyTex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1080"/>
        </w:tabs>
        <w:ind w:left="630" w:hanging="360"/>
        <w:jc w:val="left"/>
      </w:pPr>
      <w:r>
        <w:t xml:space="preserve">C.  Cost of Drug Testing:  Pursuant to the Youth Court Act </w:t>
      </w:r>
      <w:r w:rsidRPr="006D598F">
        <w:t>and Montana Judicial Branch Policy No. 1270</w:t>
      </w:r>
      <w:r>
        <w:t xml:space="preserve">, </w:t>
      </w:r>
      <w:r w:rsidRPr="006D598F">
        <w:t xml:space="preserve">a </w:t>
      </w:r>
      <w:r w:rsidR="00826529" w:rsidRPr="006D598F">
        <w:t>Youth Court</w:t>
      </w:r>
      <w:r w:rsidRPr="006D598F">
        <w:t xml:space="preserve"> may impose a fee on a juvenile and</w:t>
      </w:r>
      <w:r w:rsidR="00826529" w:rsidRPr="006D598F">
        <w:t>/</w:t>
      </w:r>
      <w:r w:rsidRPr="006D598F">
        <w:t xml:space="preserve">or parent or guardian to </w:t>
      </w:r>
      <w:r w:rsidR="00826529" w:rsidRPr="006D598F">
        <w:t>hel</w:t>
      </w:r>
      <w:r w:rsidRPr="006D598F">
        <w:t xml:space="preserve">p offset the cost associated with drug testing.  </w:t>
      </w:r>
      <w:r w:rsidR="00826529" w:rsidRPr="006D598F">
        <w:t>If the Youth Court chooses to impose a fee, the following pro</w:t>
      </w:r>
      <w:r w:rsidR="002F3716" w:rsidRPr="006D598F">
        <w:t>visions apply</w:t>
      </w:r>
      <w:r w:rsidR="00826529" w:rsidRPr="006D598F">
        <w:t>:</w:t>
      </w:r>
    </w:p>
    <w:p w:rsidR="0056573D" w:rsidRDefault="0056573D">
      <w:pPr>
        <w:pStyle w:val="BodyTex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1080"/>
        </w:tabs>
        <w:ind w:left="720"/>
      </w:pPr>
    </w:p>
    <w:p w:rsidR="0056573D" w:rsidRDefault="00826529" w:rsidP="00DE750B">
      <w:pPr>
        <w:pStyle w:val="BodyText2"/>
        <w:numPr>
          <w:ilvl w:val="0"/>
          <w:numId w:val="5"/>
        </w:numPr>
        <w:tabs>
          <w:tab w:val="clear" w:pos="720"/>
        </w:tabs>
      </w:pPr>
      <w:r w:rsidRPr="006D598F">
        <w:t>The fee may not exceed the cost associated with conducting the drug test</w:t>
      </w:r>
      <w:r w:rsidR="0094200F" w:rsidRPr="006D598F">
        <w:t>ing</w:t>
      </w:r>
      <w:r w:rsidRPr="006D598F">
        <w:t>.</w:t>
      </w:r>
      <w:r>
        <w:t xml:space="preserve"> </w:t>
      </w:r>
      <w:r w:rsidR="0056573D">
        <w:t xml:space="preserve">The Office </w:t>
      </w:r>
      <w:r w:rsidRPr="006D598F">
        <w:t>of Court Administrator</w:t>
      </w:r>
      <w:r>
        <w:t xml:space="preserve"> </w:t>
      </w:r>
      <w:r w:rsidR="0056573D">
        <w:t xml:space="preserve">will </w:t>
      </w:r>
      <w:r w:rsidRPr="006D598F">
        <w:t xml:space="preserve">notify the Youth Courts as to </w:t>
      </w:r>
      <w:r w:rsidR="0056573D" w:rsidRPr="006D598F">
        <w:t xml:space="preserve">the cost for </w:t>
      </w:r>
      <w:r w:rsidR="002F3716" w:rsidRPr="006D598F">
        <w:t>drug tests and other necessary materials purchased under the</w:t>
      </w:r>
      <w:r w:rsidR="002F3716">
        <w:t xml:space="preserve"> </w:t>
      </w:r>
      <w:r w:rsidR="0056573D">
        <w:t>state</w:t>
      </w:r>
      <w:r w:rsidR="002F3716">
        <w:t xml:space="preserve"> </w:t>
      </w:r>
      <w:r w:rsidR="002F3716" w:rsidRPr="006D598F">
        <w:t>term</w:t>
      </w:r>
      <w:r w:rsidR="0056573D">
        <w:t xml:space="preserve"> contract.</w:t>
      </w:r>
    </w:p>
    <w:p w:rsidR="0056573D" w:rsidRDefault="0056573D" w:rsidP="00DE750B">
      <w:pPr>
        <w:pStyle w:val="BodyText2"/>
        <w:numPr>
          <w:ilvl w:val="0"/>
          <w:numId w:val="5"/>
        </w:numPr>
      </w:pPr>
      <w:r>
        <w:t xml:space="preserve">If </w:t>
      </w:r>
      <w:r w:rsidR="006D598F">
        <w:t xml:space="preserve">a </w:t>
      </w:r>
      <w:r>
        <w:t xml:space="preserve">field test comes back as positive for drug use and the youth denies the use, the test will be sent to the </w:t>
      </w:r>
      <w:r w:rsidR="002F3716" w:rsidRPr="006D598F">
        <w:t>laboratory</w:t>
      </w:r>
      <w:r>
        <w:t xml:space="preserve">.  If the </w:t>
      </w:r>
      <w:r w:rsidR="002F3716" w:rsidRPr="006D598F">
        <w:t>laboratory</w:t>
      </w:r>
      <w:r w:rsidR="002F3716">
        <w:t xml:space="preserve"> </w:t>
      </w:r>
      <w:r>
        <w:t xml:space="preserve">test is positive, the youth and/or parent or guardian </w:t>
      </w:r>
      <w:r w:rsidR="00C32500">
        <w:t xml:space="preserve">should </w:t>
      </w:r>
      <w:r>
        <w:t>be assessed the cost of the lab work and all ancillary costs</w:t>
      </w:r>
      <w:r w:rsidR="002F3716">
        <w:t>,</w:t>
      </w:r>
      <w:r>
        <w:t xml:space="preserve"> including postage and handling. The Youth Court will pay the costs of the test if the </w:t>
      </w:r>
      <w:r w:rsidR="002F3716" w:rsidRPr="006D598F">
        <w:t>laboratory</w:t>
      </w:r>
      <w:r w:rsidR="002F3716">
        <w:t xml:space="preserve"> </w:t>
      </w:r>
      <w:r>
        <w:t>returns a negative result.</w:t>
      </w:r>
    </w:p>
    <w:p w:rsidR="0056573D" w:rsidRDefault="0056573D" w:rsidP="00DE750B">
      <w:pPr>
        <w:pStyle w:val="BodyText2"/>
        <w:numPr>
          <w:ilvl w:val="0"/>
          <w:numId w:val="5"/>
        </w:numPr>
      </w:pPr>
      <w:r>
        <w:t xml:space="preserve">Youth Courts may waive the cost of the drug test for a youth and/or parent or guardian who is unable to pay. </w:t>
      </w:r>
    </w:p>
    <w:p w:rsidR="00011DA9" w:rsidRDefault="00011DA9" w:rsidP="00DE750B">
      <w:pPr>
        <w:pStyle w:val="BodyText2"/>
        <w:numPr>
          <w:ilvl w:val="0"/>
          <w:numId w:val="5"/>
        </w:numPr>
      </w:pPr>
      <w:r>
        <w:t>Costs of drug tests or drug testing services can be paid from the fees account or the PIF account established in 41-5-2011, MCA at the discretion of the Chief Juvenile Probation Officer.</w:t>
      </w:r>
    </w:p>
    <w:p w:rsidR="0056573D" w:rsidRDefault="0056573D">
      <w:pPr>
        <w:pStyle w:val="BodyText2"/>
        <w:tabs>
          <w:tab w:val="clear" w:pos="720"/>
          <w:tab w:val="clear" w:pos="1440"/>
        </w:tabs>
      </w:pPr>
    </w:p>
    <w:p w:rsidR="0056573D" w:rsidRDefault="0056573D">
      <w:pPr>
        <w:pStyle w:val="BodyText2"/>
        <w:tabs>
          <w:tab w:val="clear" w:pos="720"/>
          <w:tab w:val="clear" w:pos="1440"/>
        </w:tabs>
        <w:rPr>
          <w:b/>
          <w:bCs/>
          <w:sz w:val="24"/>
        </w:rPr>
      </w:pPr>
      <w:r>
        <w:rPr>
          <w:b/>
          <w:bCs/>
          <w:sz w:val="24"/>
        </w:rPr>
        <w:t>4.0      Authorities</w:t>
      </w:r>
    </w:p>
    <w:p w:rsidR="0056573D" w:rsidRDefault="0056573D">
      <w:pPr>
        <w:pStyle w:val="BodyText2"/>
        <w:tabs>
          <w:tab w:val="clear" w:pos="720"/>
          <w:tab w:val="clear" w:pos="1440"/>
        </w:tabs>
      </w:pPr>
    </w:p>
    <w:p w:rsidR="00F50CB6" w:rsidRPr="00B933CD" w:rsidRDefault="00F50CB6" w:rsidP="00F50CB6">
      <w:pPr>
        <w:pStyle w:val="BodyText2"/>
        <w:ind w:left="720"/>
        <w:jc w:val="left"/>
        <w:rPr>
          <w:u w:val="single"/>
        </w:rPr>
      </w:pPr>
      <w:r w:rsidRPr="006D598F">
        <w:t>Title 41, chapter 5,</w:t>
      </w:r>
      <w:r>
        <w:t xml:space="preserve"> </w:t>
      </w:r>
      <w:r w:rsidRPr="00B933CD">
        <w:t>MCA</w:t>
      </w:r>
    </w:p>
    <w:p w:rsidR="0056573D" w:rsidRDefault="0056573D">
      <w:pPr>
        <w:pStyle w:val="BodyText2"/>
        <w:tabs>
          <w:tab w:val="clear" w:pos="720"/>
          <w:tab w:val="clear" w:pos="1440"/>
        </w:tabs>
      </w:pPr>
    </w:p>
    <w:p w:rsidR="00103235" w:rsidRDefault="0056573D" w:rsidP="00103235">
      <w:pPr>
        <w:pStyle w:val="Heading1"/>
        <w:numPr>
          <w:ilvl w:val="0"/>
          <w:numId w:val="0"/>
        </w:num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</w:rPr>
        <w:t>5.0       Closing</w:t>
      </w:r>
      <w:r>
        <w:rPr>
          <w:rFonts w:ascii="Arial" w:hAnsi="Arial" w:cs="Arial"/>
          <w:b/>
          <w:bCs/>
        </w:rPr>
        <w:br/>
      </w:r>
      <w:r w:rsidR="002F3716">
        <w:rPr>
          <w:rFonts w:ascii="Arial" w:hAnsi="Arial" w:cs="Arial"/>
          <w:sz w:val="22"/>
        </w:rPr>
        <w:t xml:space="preserve"> </w:t>
      </w:r>
    </w:p>
    <w:p w:rsidR="00103235" w:rsidRPr="00103235" w:rsidRDefault="00103235" w:rsidP="00103235">
      <w:pPr>
        <w:pStyle w:val="Heading1"/>
        <w:numPr>
          <w:ilvl w:val="0"/>
          <w:numId w:val="0"/>
        </w:numPr>
        <w:rPr>
          <w:rFonts w:ascii="Arial" w:hAnsi="Arial" w:cs="Arial"/>
          <w:b/>
          <w:bCs/>
        </w:rPr>
      </w:pPr>
      <w:r w:rsidRPr="00103235">
        <w:rPr>
          <w:rFonts w:ascii="Arial" w:hAnsi="Arial" w:cs="Arial"/>
          <w:sz w:val="22"/>
          <w:szCs w:val="22"/>
        </w:rPr>
        <w:t>Questions about this policy should be directed to Office of the Court Administrator at the following address:</w:t>
      </w:r>
    </w:p>
    <w:p w:rsidR="00103235" w:rsidRDefault="00103235" w:rsidP="00103235">
      <w:pPr>
        <w:pStyle w:val="Heading2"/>
        <w:numPr>
          <w:ilvl w:val="0"/>
          <w:numId w:val="0"/>
        </w:numPr>
        <w:tabs>
          <w:tab w:val="left" w:pos="720"/>
        </w:tabs>
        <w:ind w:left="576" w:hanging="576"/>
        <w:rPr>
          <w:rFonts w:cs="Arial"/>
          <w:noProof/>
          <w:sz w:val="22"/>
          <w:szCs w:val="22"/>
        </w:rPr>
      </w:pPr>
    </w:p>
    <w:p w:rsidR="00103235" w:rsidRPr="00103235" w:rsidRDefault="00103235" w:rsidP="00103235">
      <w:pPr>
        <w:rPr>
          <w:rFonts w:ascii="Arial" w:hAnsi="Arial" w:cs="Arial"/>
          <w:noProof/>
          <w:sz w:val="22"/>
          <w:szCs w:val="22"/>
        </w:rPr>
      </w:pPr>
      <w:r w:rsidRPr="00103235">
        <w:rPr>
          <w:rFonts w:ascii="Arial" w:hAnsi="Arial" w:cs="Arial"/>
          <w:noProof/>
          <w:sz w:val="22"/>
          <w:szCs w:val="22"/>
        </w:rPr>
        <w:t>Office of the Court Administrator</w:t>
      </w:r>
    </w:p>
    <w:p w:rsidR="00103235" w:rsidRPr="00103235" w:rsidRDefault="00103235" w:rsidP="00103235">
      <w:pPr>
        <w:rPr>
          <w:rFonts w:ascii="Arial" w:hAnsi="Arial" w:cs="Arial"/>
          <w:noProof/>
          <w:sz w:val="22"/>
          <w:szCs w:val="22"/>
        </w:rPr>
      </w:pPr>
      <w:r w:rsidRPr="00103235">
        <w:rPr>
          <w:rFonts w:ascii="Arial" w:hAnsi="Arial" w:cs="Arial"/>
          <w:noProof/>
          <w:sz w:val="22"/>
          <w:szCs w:val="22"/>
        </w:rPr>
        <w:t xml:space="preserve">Room 315, </w:t>
      </w:r>
      <w:smartTag w:uri="urn:schemas-microsoft-com:office:smarttags" w:element="place">
        <w:smartTag w:uri="urn:schemas-microsoft-com:office:smarttags" w:element="PlaceName">
          <w:r w:rsidRPr="00103235">
            <w:rPr>
              <w:rFonts w:ascii="Arial" w:hAnsi="Arial" w:cs="Arial"/>
              <w:noProof/>
              <w:sz w:val="22"/>
              <w:szCs w:val="22"/>
            </w:rPr>
            <w:t>Justice</w:t>
          </w:r>
        </w:smartTag>
        <w:r w:rsidRPr="00103235">
          <w:rPr>
            <w:rFonts w:ascii="Arial" w:hAnsi="Arial" w:cs="Arial"/>
            <w:noProof/>
            <w:sz w:val="22"/>
            <w:szCs w:val="22"/>
          </w:rPr>
          <w:t xml:space="preserve"> </w:t>
        </w:r>
        <w:smartTag w:uri="urn:schemas-microsoft-com:office:smarttags" w:element="PlaceType">
          <w:r w:rsidRPr="00103235">
            <w:rPr>
              <w:rFonts w:ascii="Arial" w:hAnsi="Arial" w:cs="Arial"/>
              <w:noProof/>
              <w:sz w:val="22"/>
              <w:szCs w:val="22"/>
            </w:rPr>
            <w:t>Building</w:t>
          </w:r>
        </w:smartTag>
      </w:smartTag>
    </w:p>
    <w:p w:rsidR="00103235" w:rsidRPr="00103235" w:rsidRDefault="00103235" w:rsidP="00103235">
      <w:pPr>
        <w:rPr>
          <w:rFonts w:ascii="Arial" w:hAnsi="Arial" w:cs="Arial"/>
          <w:noProof/>
          <w:sz w:val="22"/>
          <w:szCs w:val="22"/>
        </w:rPr>
      </w:pPr>
      <w:r w:rsidRPr="00103235">
        <w:rPr>
          <w:rFonts w:ascii="Arial" w:hAnsi="Arial" w:cs="Arial"/>
          <w:noProof/>
          <w:sz w:val="22"/>
          <w:szCs w:val="22"/>
        </w:rPr>
        <w:t>215 North Sanders</w:t>
      </w:r>
    </w:p>
    <w:p w:rsidR="00103235" w:rsidRPr="00103235" w:rsidRDefault="00103235" w:rsidP="00103235">
      <w:pPr>
        <w:rPr>
          <w:rFonts w:ascii="Arial" w:hAnsi="Arial" w:cs="Arial"/>
          <w:noProof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103235">
            <w:rPr>
              <w:rFonts w:ascii="Arial" w:hAnsi="Arial" w:cs="Arial"/>
              <w:noProof/>
              <w:sz w:val="22"/>
              <w:szCs w:val="22"/>
            </w:rPr>
            <w:t>P.O. Box</w:t>
          </w:r>
        </w:smartTag>
        <w:r w:rsidRPr="00103235">
          <w:rPr>
            <w:rFonts w:ascii="Arial" w:hAnsi="Arial" w:cs="Arial"/>
            <w:noProof/>
            <w:sz w:val="22"/>
            <w:szCs w:val="22"/>
          </w:rPr>
          <w:t xml:space="preserve"> 203002</w:t>
        </w:r>
      </w:smartTag>
    </w:p>
    <w:p w:rsidR="00103235" w:rsidRPr="00103235" w:rsidRDefault="00103235" w:rsidP="00103235">
      <w:pPr>
        <w:rPr>
          <w:rFonts w:ascii="Arial" w:hAnsi="Arial" w:cs="Arial"/>
          <w:noProof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103235">
            <w:rPr>
              <w:rFonts w:ascii="Arial" w:hAnsi="Arial" w:cs="Arial"/>
              <w:noProof/>
              <w:sz w:val="22"/>
              <w:szCs w:val="22"/>
            </w:rPr>
            <w:t>Helena</w:t>
          </w:r>
        </w:smartTag>
        <w:r w:rsidRPr="00103235">
          <w:rPr>
            <w:rFonts w:ascii="Arial" w:hAnsi="Arial" w:cs="Arial"/>
            <w:noProof/>
            <w:sz w:val="22"/>
            <w:szCs w:val="22"/>
          </w:rPr>
          <w:t xml:space="preserve">, </w:t>
        </w:r>
        <w:smartTag w:uri="urn:schemas-microsoft-com:office:smarttags" w:element="State">
          <w:r w:rsidRPr="00103235">
            <w:rPr>
              <w:rFonts w:ascii="Arial" w:hAnsi="Arial" w:cs="Arial"/>
              <w:noProof/>
              <w:sz w:val="22"/>
              <w:szCs w:val="22"/>
            </w:rPr>
            <w:t>Montana</w:t>
          </w:r>
        </w:smartTag>
        <w:r w:rsidRPr="00103235">
          <w:rPr>
            <w:rFonts w:ascii="Arial" w:hAnsi="Arial" w:cs="Arial"/>
            <w:noProof/>
            <w:sz w:val="22"/>
            <w:szCs w:val="22"/>
          </w:rPr>
          <w:t xml:space="preserve"> </w:t>
        </w:r>
        <w:smartTag w:uri="urn:schemas-microsoft-com:office:smarttags" w:element="PostalCode">
          <w:r w:rsidRPr="00103235">
            <w:rPr>
              <w:rFonts w:ascii="Arial" w:hAnsi="Arial" w:cs="Arial"/>
              <w:noProof/>
              <w:sz w:val="22"/>
              <w:szCs w:val="22"/>
            </w:rPr>
            <w:t>59620-3002</w:t>
          </w:r>
        </w:smartTag>
      </w:smartTag>
    </w:p>
    <w:p w:rsidR="00103235" w:rsidRPr="00103235" w:rsidRDefault="00103235" w:rsidP="00103235">
      <w:pPr>
        <w:rPr>
          <w:rFonts w:ascii="Arial" w:hAnsi="Arial" w:cs="Arial"/>
          <w:noProof/>
          <w:sz w:val="22"/>
          <w:szCs w:val="22"/>
        </w:rPr>
      </w:pPr>
      <w:r w:rsidRPr="00103235">
        <w:rPr>
          <w:rFonts w:ascii="Arial" w:hAnsi="Arial" w:cs="Arial"/>
          <w:noProof/>
          <w:sz w:val="22"/>
          <w:szCs w:val="22"/>
        </w:rPr>
        <w:t>Phone:  (406) 444-2621</w:t>
      </w:r>
    </w:p>
    <w:p w:rsidR="0056573D" w:rsidRPr="00103235" w:rsidRDefault="0056573D" w:rsidP="00103235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z w:val="22"/>
        </w:rPr>
      </w:pPr>
    </w:p>
    <w:p w:rsidR="0056573D" w:rsidRDefault="0056573D">
      <w:pPr>
        <w:pStyle w:val="BodyText2"/>
        <w:tabs>
          <w:tab w:val="clear" w:pos="720"/>
          <w:tab w:val="clear" w:pos="1440"/>
        </w:tabs>
        <w:rPr>
          <w:b/>
          <w:bCs/>
          <w:sz w:val="24"/>
        </w:rPr>
      </w:pPr>
    </w:p>
    <w:sectPr w:rsidR="0056573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7D" w:rsidRDefault="00A3247D">
      <w:r>
        <w:separator/>
      </w:r>
    </w:p>
  </w:endnote>
  <w:endnote w:type="continuationSeparator" w:id="0">
    <w:p w:rsidR="00A3247D" w:rsidRDefault="00A3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16" w:rsidRDefault="002F37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3716" w:rsidRDefault="002F37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16" w:rsidRDefault="002F37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38A4">
      <w:rPr>
        <w:rStyle w:val="PageNumber"/>
        <w:noProof/>
      </w:rPr>
      <w:t>1</w:t>
    </w:r>
    <w:r>
      <w:rPr>
        <w:rStyle w:val="PageNumber"/>
      </w:rPr>
      <w:fldChar w:fldCharType="end"/>
    </w:r>
  </w:p>
  <w:p w:rsidR="002F3716" w:rsidRDefault="002F3716">
    <w:pPr>
      <w:pStyle w:val="Header"/>
      <w:tabs>
        <w:tab w:val="clear" w:pos="4320"/>
        <w:tab w:val="clear" w:pos="8640"/>
      </w:tabs>
      <w:spacing w:line="240" w:lineRule="exact"/>
    </w:pPr>
  </w:p>
  <w:p w:rsidR="002F3716" w:rsidRDefault="002F3716">
    <w:pPr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7D" w:rsidRDefault="00A3247D">
      <w:r>
        <w:separator/>
      </w:r>
    </w:p>
  </w:footnote>
  <w:footnote w:type="continuationSeparator" w:id="0">
    <w:p w:rsidR="00A3247D" w:rsidRDefault="00A32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453"/>
    <w:multiLevelType w:val="hybridMultilevel"/>
    <w:tmpl w:val="8BDE3E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A4F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25FF0"/>
    <w:multiLevelType w:val="hybridMultilevel"/>
    <w:tmpl w:val="704483A6"/>
    <w:lvl w:ilvl="0" w:tplc="7BAC076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05645FE"/>
    <w:multiLevelType w:val="hybridMultilevel"/>
    <w:tmpl w:val="A96064A4"/>
    <w:lvl w:ilvl="0" w:tplc="E9AC078C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3E0CB4F8">
      <w:start w:val="5"/>
      <w:numFmt w:val="decimal"/>
      <w:lvlText w:val="%3"/>
      <w:lvlJc w:val="left"/>
      <w:pPr>
        <w:tabs>
          <w:tab w:val="num" w:pos="3540"/>
        </w:tabs>
        <w:ind w:left="3540" w:hanging="7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2DBF3187"/>
    <w:multiLevelType w:val="hybridMultilevel"/>
    <w:tmpl w:val="9408A3DA"/>
    <w:lvl w:ilvl="0" w:tplc="16BA1B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8BB040F"/>
    <w:multiLevelType w:val="multilevel"/>
    <w:tmpl w:val="CE74D98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6567778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ake, Robert">
    <w15:presenceInfo w15:providerId="AD" w15:userId="S-1-5-21-725345543-413027322-2146997909-214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C1"/>
    <w:rsid w:val="00011DA9"/>
    <w:rsid w:val="000433C1"/>
    <w:rsid w:val="00103235"/>
    <w:rsid w:val="001B6CD9"/>
    <w:rsid w:val="002F3716"/>
    <w:rsid w:val="00397B80"/>
    <w:rsid w:val="003F0109"/>
    <w:rsid w:val="003F5406"/>
    <w:rsid w:val="004F1AFC"/>
    <w:rsid w:val="0056573D"/>
    <w:rsid w:val="005A38A4"/>
    <w:rsid w:val="00691554"/>
    <w:rsid w:val="006D598F"/>
    <w:rsid w:val="00826529"/>
    <w:rsid w:val="008D4006"/>
    <w:rsid w:val="0094200F"/>
    <w:rsid w:val="00A125B3"/>
    <w:rsid w:val="00A3247D"/>
    <w:rsid w:val="00A976D8"/>
    <w:rsid w:val="00C32500"/>
    <w:rsid w:val="00C55E90"/>
    <w:rsid w:val="00CD29E1"/>
    <w:rsid w:val="00D12B9A"/>
    <w:rsid w:val="00D70334"/>
    <w:rsid w:val="00DD3F6A"/>
    <w:rsid w:val="00DD788D"/>
    <w:rsid w:val="00DE750B"/>
    <w:rsid w:val="00F50CB6"/>
    <w:rsid w:val="00FC76B7"/>
    <w:rsid w:val="00F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sz w:val="24"/>
    </w:rPr>
  </w:style>
  <w:style w:type="paragraph" w:styleId="BodyTextIndent2">
    <w:name w:val="Body Text Indent 2"/>
    <w:basedOn w:val="Normal"/>
    <w:semiHidden/>
    <w:pPr>
      <w:ind w:firstLine="720"/>
    </w:pPr>
    <w:rPr>
      <w:sz w:val="24"/>
    </w:rPr>
  </w:style>
  <w:style w:type="paragraph" w:styleId="BodyTextIndent3">
    <w:name w:val="Body Text Indent 3"/>
    <w:basedOn w:val="Normal"/>
    <w:semiHidden/>
    <w:pPr>
      <w:ind w:left="144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rFonts w:ascii="Arial" w:hAnsi="Arial"/>
      <w:sz w:val="22"/>
    </w:rPr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 w:val="24"/>
    </w:rPr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 w:cs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 New" w:hAnsi="Courier New"/>
      <w:snapToGrid w:val="0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character" w:styleId="PageNumber">
    <w:name w:val="page number"/>
    <w:basedOn w:val="DefaultParagraphFon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sz w:val="24"/>
    </w:rPr>
  </w:style>
  <w:style w:type="paragraph" w:styleId="BodyTextIndent2">
    <w:name w:val="Body Text Indent 2"/>
    <w:basedOn w:val="Normal"/>
    <w:semiHidden/>
    <w:pPr>
      <w:ind w:firstLine="720"/>
    </w:pPr>
    <w:rPr>
      <w:sz w:val="24"/>
    </w:rPr>
  </w:style>
  <w:style w:type="paragraph" w:styleId="BodyTextIndent3">
    <w:name w:val="Body Text Indent 3"/>
    <w:basedOn w:val="Normal"/>
    <w:semiHidden/>
    <w:pPr>
      <w:ind w:left="144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rFonts w:ascii="Arial" w:hAnsi="Arial"/>
      <w:sz w:val="22"/>
    </w:rPr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 w:val="24"/>
    </w:rPr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 w:cs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 New" w:hAnsi="Courier New"/>
      <w:snapToGrid w:val="0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6C6BB-3441-4C8D-A2BB-EA3C8EEE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649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Revenue – Policies</vt:lpstr>
    </vt:vector>
  </TitlesOfParts>
  <Company>Dell Computer Corporation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Judicial Branch</dc:title>
  <cp:lastModifiedBy>McLaughlin, Beth</cp:lastModifiedBy>
  <cp:revision>3</cp:revision>
  <cp:lastPrinted>2016-06-01T14:47:00Z</cp:lastPrinted>
  <dcterms:created xsi:type="dcterms:W3CDTF">2016-05-09T17:13:00Z</dcterms:created>
  <dcterms:modified xsi:type="dcterms:W3CDTF">2016-06-01T14:47:00Z</dcterms:modified>
</cp:coreProperties>
</file>