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54676" w14:textId="77777777" w:rsidR="002A2832" w:rsidRDefault="002A2832" w:rsidP="00126772">
      <w:pPr>
        <w:pStyle w:val="Heading2"/>
      </w:pPr>
    </w:p>
    <w:p w14:paraId="4D6791B2" w14:textId="77777777" w:rsidR="002A2832" w:rsidRDefault="002A2832" w:rsidP="00126772">
      <w:pPr>
        <w:pStyle w:val="Heading2"/>
      </w:pPr>
    </w:p>
    <w:p w14:paraId="02CD9AB0" w14:textId="77777777" w:rsidR="002A2832" w:rsidRDefault="002A2832" w:rsidP="002A2832">
      <w:pPr>
        <w:pStyle w:val="Heading2"/>
      </w:pPr>
    </w:p>
    <w:p w14:paraId="291846FF" w14:textId="77777777" w:rsidR="002A2832" w:rsidRDefault="002A2832" w:rsidP="002A2832">
      <w:pPr>
        <w:pStyle w:val="Heading2"/>
      </w:pPr>
    </w:p>
    <w:p w14:paraId="75903C20" w14:textId="77777777" w:rsidR="002A2832" w:rsidRDefault="002A2832" w:rsidP="002A2832">
      <w:pPr>
        <w:pStyle w:val="Heading2"/>
      </w:pPr>
    </w:p>
    <w:p w14:paraId="22F755B3" w14:textId="77777777" w:rsidR="002A2832" w:rsidRDefault="002A2832" w:rsidP="002A2832">
      <w:pPr>
        <w:pStyle w:val="Heading2"/>
      </w:pPr>
    </w:p>
    <w:p w14:paraId="51271C74" w14:textId="77777777" w:rsidR="002A2832" w:rsidRDefault="002A2832" w:rsidP="002A2832">
      <w:pPr>
        <w:pStyle w:val="Heading2"/>
      </w:pPr>
    </w:p>
    <w:p w14:paraId="70111A2B" w14:textId="77777777" w:rsidR="002A2832" w:rsidRDefault="002A2832" w:rsidP="002A2832">
      <w:pPr>
        <w:pStyle w:val="Heading2"/>
      </w:pPr>
    </w:p>
    <w:p w14:paraId="55BC1D54" w14:textId="533B20E4" w:rsidR="002A2832" w:rsidRDefault="003A4F8C" w:rsidP="002A2832">
      <w:pPr>
        <w:pStyle w:val="Heading2"/>
      </w:pPr>
      <w:r>
        <w:t>Version:</w:t>
      </w:r>
      <w:r w:rsidR="00317572">
        <w:t xml:space="preserve">  </w:t>
      </w:r>
      <w:r w:rsidR="002A2832">
        <w:t>4</w:t>
      </w:r>
      <w:r>
        <w:t xml:space="preserve"> Revised</w:t>
      </w:r>
      <w:r w:rsidR="00670657">
        <w:t xml:space="preserve"> </w:t>
      </w:r>
      <w:r w:rsidR="003C4FF3">
        <w:t xml:space="preserve">December </w:t>
      </w:r>
      <w:r w:rsidR="00E4085D">
        <w:t>30</w:t>
      </w:r>
      <w:r w:rsidR="000F1399">
        <w:t xml:space="preserve">, </w:t>
      </w:r>
      <w:r w:rsidR="0039477D">
        <w:t>2020</w:t>
      </w:r>
    </w:p>
    <w:p w14:paraId="11FC683D" w14:textId="77777777" w:rsidR="002A2832" w:rsidRDefault="002A2832" w:rsidP="002A2832">
      <w:pPr>
        <w:pStyle w:val="Heading2"/>
      </w:pPr>
    </w:p>
    <w:p w14:paraId="40E856E5" w14:textId="77777777" w:rsidR="002A2832" w:rsidRDefault="002A2832" w:rsidP="002A2832">
      <w:pPr>
        <w:pStyle w:val="Heading2"/>
      </w:pPr>
    </w:p>
    <w:p w14:paraId="3836794E" w14:textId="1B37A602" w:rsidR="005F6105" w:rsidRPr="002A2832" w:rsidRDefault="00902A6C" w:rsidP="002A2832">
      <w:pPr>
        <w:pStyle w:val="Heading2"/>
        <w:rPr>
          <w:sz w:val="24"/>
          <w:szCs w:val="24"/>
        </w:rPr>
      </w:pPr>
      <w:r w:rsidRPr="002A2832">
        <w:rPr>
          <w:sz w:val="24"/>
          <w:szCs w:val="24"/>
        </w:rPr>
        <w:t>Office of the Court Administrator</w:t>
      </w:r>
    </w:p>
    <w:p w14:paraId="1CD87450" w14:textId="3F1BEE5F" w:rsidR="005F6105" w:rsidRPr="0039477D" w:rsidRDefault="002A1995">
      <w:pPr>
        <w:pStyle w:val="SubtitleCover"/>
        <w:rPr>
          <w:sz w:val="56"/>
          <w:szCs w:val="56"/>
        </w:rPr>
      </w:pPr>
      <w:r w:rsidRPr="0039477D">
        <w:rPr>
          <w:sz w:val="56"/>
          <w:szCs w:val="56"/>
        </w:rPr>
        <w:t>Administration, Scoring and Reporting Manual</w:t>
      </w:r>
    </w:p>
    <w:p w14:paraId="36F2E5C6" w14:textId="520D908A" w:rsidR="005F6105" w:rsidRPr="002A1995" w:rsidRDefault="002A1995">
      <w:pPr>
        <w:pStyle w:val="TitleCover"/>
        <w:rPr>
          <w:rFonts w:cs="Arial"/>
        </w:rPr>
        <w:sectPr w:rsidR="005F6105" w:rsidRPr="002A1995" w:rsidSect="007A3843">
          <w:pgSz w:w="12240" w:h="15840" w:code="1"/>
          <w:pgMar w:top="960" w:right="960" w:bottom="1440" w:left="960" w:header="0" w:footer="0" w:gutter="0"/>
          <w:pgNumType w:start="0"/>
          <w:cols w:space="720"/>
          <w:titlePg/>
        </w:sectPr>
      </w:pPr>
      <w:r>
        <w:rPr>
          <w:rFonts w:cs="Arial"/>
          <w:spacing w:val="-180"/>
        </w:rPr>
        <w:t xml:space="preserve">Montana </w:t>
      </w:r>
      <w:r w:rsidR="0026341D" w:rsidRPr="002A1995">
        <w:rPr>
          <w:rFonts w:cs="Arial"/>
          <w:spacing w:val="-180"/>
        </w:rPr>
        <w:t xml:space="preserve">Public Safety </w:t>
      </w:r>
      <w:r w:rsidR="005B305C" w:rsidRPr="002A1995">
        <w:rPr>
          <w:rFonts w:cs="Arial"/>
          <w:spacing w:val="-180"/>
        </w:rPr>
        <w:t xml:space="preserve">Assessment </w:t>
      </w:r>
      <w:r w:rsidR="005B305C">
        <w:rPr>
          <w:rFonts w:cs="Arial"/>
          <w:spacing w:val="-180"/>
        </w:rPr>
        <w:t>(</w:t>
      </w:r>
      <w:r>
        <w:rPr>
          <w:rFonts w:cs="Arial"/>
          <w:spacing w:val="-180"/>
        </w:rPr>
        <w:t>PSA)</w:t>
      </w:r>
    </w:p>
    <w:p w14:paraId="19A07215" w14:textId="31C46A85" w:rsidR="005F6105" w:rsidRDefault="00722B9C">
      <w:pPr>
        <w:pStyle w:val="Title"/>
      </w:pPr>
      <w:r>
        <w:lastRenderedPageBreak/>
        <w:t>Administration, Scoring and Reporting Manual for the Montana Public Safety Assessment (PSA)</w:t>
      </w:r>
    </w:p>
    <w:p w14:paraId="13950E17" w14:textId="584A3889" w:rsidR="00722B9C" w:rsidRPr="002A2832" w:rsidRDefault="00722B9C">
      <w:pPr>
        <w:pStyle w:val="ReturnAddress"/>
        <w:rPr>
          <w:sz w:val="24"/>
          <w:szCs w:val="24"/>
        </w:rPr>
      </w:pPr>
      <w:r w:rsidRPr="002A2832">
        <w:rPr>
          <w:sz w:val="24"/>
          <w:szCs w:val="24"/>
        </w:rPr>
        <w:t>Office of the Court Administrator</w:t>
      </w:r>
    </w:p>
    <w:p w14:paraId="6AD8D83B" w14:textId="0768FB7E" w:rsidR="005F6105" w:rsidRPr="002A2832" w:rsidRDefault="00722B9C">
      <w:pPr>
        <w:pStyle w:val="ReturnAddress"/>
        <w:rPr>
          <w:sz w:val="24"/>
          <w:szCs w:val="24"/>
        </w:rPr>
      </w:pPr>
      <w:r w:rsidRPr="002A2832">
        <w:rPr>
          <w:sz w:val="24"/>
          <w:szCs w:val="24"/>
        </w:rPr>
        <w:t>301 S. Park</w:t>
      </w:r>
      <w:r w:rsidR="00A755B4">
        <w:rPr>
          <w:sz w:val="24"/>
          <w:szCs w:val="24"/>
        </w:rPr>
        <w:t xml:space="preserve"> Ave.</w:t>
      </w:r>
    </w:p>
    <w:p w14:paraId="1BEC2D3F" w14:textId="0C0F3261" w:rsidR="00B41464" w:rsidRPr="002A2832" w:rsidRDefault="00722B9C">
      <w:pPr>
        <w:pStyle w:val="ReturnAddress"/>
        <w:rPr>
          <w:sz w:val="24"/>
          <w:szCs w:val="24"/>
        </w:rPr>
      </w:pPr>
      <w:r w:rsidRPr="002A2832">
        <w:rPr>
          <w:sz w:val="24"/>
          <w:szCs w:val="24"/>
        </w:rPr>
        <w:t>Helena</w:t>
      </w:r>
      <w:r w:rsidR="00B41464" w:rsidRPr="002A2832">
        <w:rPr>
          <w:sz w:val="24"/>
          <w:szCs w:val="24"/>
        </w:rPr>
        <w:t xml:space="preserve">, </w:t>
      </w:r>
      <w:r w:rsidRPr="002A2832">
        <w:rPr>
          <w:sz w:val="24"/>
          <w:szCs w:val="24"/>
        </w:rPr>
        <w:t>MT</w:t>
      </w:r>
      <w:r w:rsidR="00B41464" w:rsidRPr="002A2832">
        <w:rPr>
          <w:sz w:val="24"/>
          <w:szCs w:val="24"/>
        </w:rPr>
        <w:t xml:space="preserve">  </w:t>
      </w:r>
      <w:r w:rsidRPr="002A2832">
        <w:rPr>
          <w:sz w:val="24"/>
          <w:szCs w:val="24"/>
        </w:rPr>
        <w:t>59620</w:t>
      </w:r>
    </w:p>
    <w:p w14:paraId="5D8754B6" w14:textId="5B2F8929" w:rsidR="00E02D41" w:rsidRPr="00B811A7" w:rsidRDefault="005F6105" w:rsidP="0014617B">
      <w:pPr>
        <w:pStyle w:val="ReturnAddress"/>
        <w:sectPr w:rsidR="00E02D41" w:rsidRPr="00B811A7" w:rsidSect="007A3843">
          <w:footerReference w:type="first" r:id="rId7"/>
          <w:pgSz w:w="12240" w:h="15840" w:code="1"/>
          <w:pgMar w:top="1800" w:right="1200" w:bottom="1440" w:left="1200" w:header="960" w:footer="960" w:gutter="0"/>
          <w:pgNumType w:fmt="lowerRoman" w:start="1"/>
          <w:cols w:space="720"/>
          <w:titlePg/>
        </w:sectPr>
      </w:pPr>
      <w:r w:rsidRPr="002A2832">
        <w:rPr>
          <w:sz w:val="24"/>
          <w:szCs w:val="24"/>
        </w:rPr>
        <w:t>Phon</w:t>
      </w:r>
      <w:r w:rsidR="00722B9C" w:rsidRPr="002A2832">
        <w:rPr>
          <w:sz w:val="24"/>
          <w:szCs w:val="24"/>
        </w:rPr>
        <w:t>e 406</w:t>
      </w:r>
      <w:r w:rsidRPr="002A2832">
        <w:rPr>
          <w:sz w:val="24"/>
          <w:szCs w:val="24"/>
        </w:rPr>
        <w:t>.</w:t>
      </w:r>
      <w:r w:rsidR="00722B9C" w:rsidRPr="002A2832">
        <w:rPr>
          <w:sz w:val="24"/>
          <w:szCs w:val="24"/>
        </w:rPr>
        <w:t>841</w:t>
      </w:r>
      <w:r w:rsidRPr="002A2832">
        <w:rPr>
          <w:sz w:val="24"/>
          <w:szCs w:val="24"/>
        </w:rPr>
        <w:t>.</w:t>
      </w:r>
      <w:r w:rsidR="00722B9C" w:rsidRPr="002A2832">
        <w:rPr>
          <w:sz w:val="24"/>
          <w:szCs w:val="24"/>
        </w:rPr>
        <w:t>2950</w:t>
      </w:r>
    </w:p>
    <w:p w14:paraId="2BC9C168" w14:textId="77777777" w:rsidR="005F6105" w:rsidRDefault="005F6105">
      <w:pPr>
        <w:pStyle w:val="SectionLabel"/>
      </w:pPr>
      <w:r>
        <w:rPr>
          <w:spacing w:val="-100"/>
        </w:rPr>
        <w:lastRenderedPageBreak/>
        <w:t>T</w:t>
      </w:r>
      <w:r>
        <w:t>able of Contents</w:t>
      </w:r>
    </w:p>
    <w:p w14:paraId="3D2C7E42" w14:textId="39951AE6" w:rsidR="000A4CF3" w:rsidRPr="008F1EDA" w:rsidRDefault="000A4CF3" w:rsidP="000A4CF3">
      <w:pPr>
        <w:rPr>
          <w:b/>
          <w:sz w:val="32"/>
          <w:szCs w:val="32"/>
        </w:rPr>
      </w:pPr>
      <w:r>
        <w:t xml:space="preserve">                            </w:t>
      </w:r>
      <w:r w:rsidR="002A2832">
        <w:rPr>
          <w:b/>
          <w:sz w:val="32"/>
          <w:szCs w:val="32"/>
        </w:rPr>
        <w:t>Section</w:t>
      </w:r>
    </w:p>
    <w:p w14:paraId="6EF4725B" w14:textId="32D3F8BB" w:rsidR="000A4CF3" w:rsidRPr="000A4CF3" w:rsidRDefault="000A4CF3" w:rsidP="000A4CF3">
      <w:pPr>
        <w:sectPr w:rsidR="000A4CF3" w:rsidRPr="000A4CF3" w:rsidSect="007A3843">
          <w:headerReference w:type="default" r:id="rId8"/>
          <w:footerReference w:type="default" r:id="rId9"/>
          <w:pgSz w:w="12240" w:h="15840" w:code="1"/>
          <w:pgMar w:top="1200" w:right="1200" w:bottom="1440" w:left="1200" w:header="0" w:footer="960" w:gutter="0"/>
          <w:pgNumType w:fmt="lowerRoman" w:start="1"/>
          <w:cols w:space="720"/>
        </w:sectPr>
      </w:pPr>
      <w:r>
        <w:t xml:space="preserve">       </w:t>
      </w:r>
    </w:p>
    <w:p w14:paraId="760D6CD9" w14:textId="2C71C6DD" w:rsidR="004265DB" w:rsidRDefault="002D4C6B">
      <w:pPr>
        <w:pStyle w:val="TOC1"/>
        <w:tabs>
          <w:tab w:val="right" w:leader="dot" w:pos="7910"/>
        </w:tabs>
        <w:rPr>
          <w:rFonts w:ascii="Times New Roman" w:hAnsi="Times New Roman"/>
          <w:noProof/>
          <w:sz w:val="24"/>
          <w:szCs w:val="24"/>
        </w:rPr>
      </w:pPr>
      <w:r>
        <w:rPr>
          <w:kern w:val="28"/>
        </w:rPr>
        <w:fldChar w:fldCharType="begin"/>
      </w:r>
      <w:r>
        <w:rPr>
          <w:kern w:val="28"/>
        </w:rPr>
        <w:instrText xml:space="preserve"> TOC \o "1-3" \h \z \t "Chapter Title,1" </w:instrText>
      </w:r>
      <w:r>
        <w:rPr>
          <w:kern w:val="28"/>
        </w:rPr>
        <w:fldChar w:fldCharType="separate"/>
      </w:r>
      <w:r w:rsidR="00C957C8">
        <w:t>Introduction………………………………………………………….1</w:t>
      </w:r>
    </w:p>
    <w:p w14:paraId="7C15B844" w14:textId="2FF28E0A" w:rsidR="004265DB" w:rsidRDefault="00912D42">
      <w:pPr>
        <w:pStyle w:val="TOC1"/>
        <w:tabs>
          <w:tab w:val="right" w:leader="dot" w:pos="7910"/>
        </w:tabs>
        <w:rPr>
          <w:rFonts w:ascii="Times New Roman" w:hAnsi="Times New Roman"/>
          <w:noProof/>
          <w:sz w:val="24"/>
          <w:szCs w:val="24"/>
        </w:rPr>
      </w:pPr>
      <w:r>
        <w:t xml:space="preserve">Glossary </w:t>
      </w:r>
      <w:r w:rsidR="00371709">
        <w:t>………………………………………………………</w:t>
      </w:r>
      <w:r>
        <w:t>…….2</w:t>
      </w:r>
    </w:p>
    <w:p w14:paraId="684AF738" w14:textId="2DFFC12A" w:rsidR="004265DB" w:rsidRDefault="00371709">
      <w:pPr>
        <w:pStyle w:val="TOC1"/>
        <w:tabs>
          <w:tab w:val="right" w:leader="dot" w:pos="7910"/>
        </w:tabs>
        <w:rPr>
          <w:rFonts w:ascii="Times New Roman" w:hAnsi="Times New Roman"/>
          <w:noProof/>
          <w:sz w:val="24"/>
          <w:szCs w:val="24"/>
        </w:rPr>
      </w:pPr>
      <w:r>
        <w:t>County Notification Process……………………………………….3</w:t>
      </w:r>
    </w:p>
    <w:p w14:paraId="228314B5" w14:textId="79879DBC" w:rsidR="004265DB" w:rsidRDefault="00371709" w:rsidP="00371709">
      <w:pPr>
        <w:pStyle w:val="TOC1"/>
        <w:tabs>
          <w:tab w:val="right" w:leader="dot" w:pos="7910"/>
        </w:tabs>
      </w:pPr>
      <w:r>
        <w:t>Scoring the Public Safety Assessment…………………………</w:t>
      </w:r>
      <w:r w:rsidR="00C957C8">
        <w:t xml:space="preserve">  </w:t>
      </w:r>
      <w:r>
        <w:t>4</w:t>
      </w:r>
    </w:p>
    <w:p w14:paraId="4FCD35E5" w14:textId="1310A145" w:rsidR="00371709" w:rsidRDefault="00371709" w:rsidP="00371709">
      <w:pPr>
        <w:pStyle w:val="TOC1"/>
        <w:tabs>
          <w:tab w:val="right" w:leader="dot" w:pos="7910"/>
        </w:tabs>
      </w:pPr>
      <w:r>
        <w:t>Providing the PSA information to the detaining county………</w:t>
      </w:r>
      <w:r w:rsidR="00C957C8">
        <w:t xml:space="preserve">   </w:t>
      </w:r>
      <w:r>
        <w:t>5</w:t>
      </w:r>
    </w:p>
    <w:p w14:paraId="7A0ACD04" w14:textId="6C04DD1D" w:rsidR="00371709" w:rsidRPr="00371709" w:rsidRDefault="00371709" w:rsidP="00371709">
      <w:pPr>
        <w:pStyle w:val="TOC1"/>
        <w:tabs>
          <w:tab w:val="right" w:leader="dot" w:pos="7910"/>
        </w:tabs>
        <w:rPr>
          <w:rFonts w:ascii="Times New Roman" w:hAnsi="Times New Roman"/>
          <w:noProof/>
          <w:sz w:val="24"/>
          <w:szCs w:val="24"/>
        </w:rPr>
      </w:pPr>
      <w:r>
        <w:t>Reporting outcomes of pretrial project …………………………..6</w:t>
      </w:r>
    </w:p>
    <w:p w14:paraId="2171AF2C" w14:textId="77777777" w:rsidR="00B83FA9" w:rsidRDefault="00B83FA9" w:rsidP="00C751FA">
      <w:pPr>
        <w:pStyle w:val="TOC2"/>
        <w:ind w:left="0"/>
        <w:rPr>
          <w:rFonts w:ascii="Times New Roman" w:hAnsi="Times New Roman"/>
          <w:noProof/>
          <w:szCs w:val="24"/>
        </w:rPr>
      </w:pPr>
    </w:p>
    <w:p w14:paraId="5AD2F2F7" w14:textId="77777777" w:rsidR="005F6105" w:rsidRPr="003D2659" w:rsidRDefault="002D4C6B" w:rsidP="003D2659">
      <w:pPr>
        <w:pStyle w:val="TOCBase"/>
        <w:rPr>
          <w:kern w:val="28"/>
        </w:rPr>
        <w:sectPr w:rsidR="005F6105" w:rsidRPr="003D2659" w:rsidSect="007A3843">
          <w:type w:val="continuous"/>
          <w:pgSz w:w="12240" w:h="15840" w:code="1"/>
          <w:pgMar w:top="1800" w:right="2040" w:bottom="1440" w:left="2280" w:header="960" w:footer="960" w:gutter="0"/>
          <w:cols w:space="720"/>
        </w:sectPr>
      </w:pPr>
      <w:r>
        <w:rPr>
          <w:kern w:val="28"/>
          <w:sz w:val="28"/>
        </w:rPr>
        <w:fldChar w:fldCharType="end"/>
      </w:r>
    </w:p>
    <w:p w14:paraId="2A23AF5A" w14:textId="360ADA7A" w:rsidR="009D43DE" w:rsidRPr="009D43DE" w:rsidRDefault="00C751FA" w:rsidP="009D43DE">
      <w:pPr>
        <w:pStyle w:val="ChapterTitle"/>
      </w:pPr>
      <w:r>
        <w:lastRenderedPageBreak/>
        <w:t>Introduction</w:t>
      </w:r>
    </w:p>
    <w:p w14:paraId="2EFB75CE" w14:textId="76719A59" w:rsidR="005D168B" w:rsidRDefault="009D43DE" w:rsidP="005D168B">
      <w:pPr>
        <w:pStyle w:val="BodyText"/>
      </w:pPr>
      <w:r>
        <w:t>It is the</w:t>
      </w:r>
      <w:r w:rsidRPr="002F29A6">
        <w:rPr>
          <w:b/>
        </w:rPr>
        <w:t xml:space="preserve"> </w:t>
      </w:r>
      <w:r w:rsidRPr="00317572">
        <w:rPr>
          <w:b/>
        </w:rPr>
        <w:t>mission</w:t>
      </w:r>
      <w:r>
        <w:t xml:space="preserve"> of the pretrial</w:t>
      </w:r>
      <w:r w:rsidR="00C957C8">
        <w:t xml:space="preserve"> pilot</w:t>
      </w:r>
      <w:r>
        <w:t xml:space="preserve"> project to demonstrate to the</w:t>
      </w:r>
      <w:r w:rsidR="00C957C8">
        <w:t xml:space="preserve"> </w:t>
      </w:r>
      <w:r>
        <w:t xml:space="preserve">Montana </w:t>
      </w:r>
      <w:r w:rsidR="003A4F8C">
        <w:t>Legislature, Montana’s</w:t>
      </w:r>
      <w:r w:rsidR="00D14DCD">
        <w:t xml:space="preserve"> </w:t>
      </w:r>
      <w:r>
        <w:t>criminal justice system, defendants, and the citizens of Montana</w:t>
      </w:r>
      <w:r w:rsidR="00C957C8">
        <w:t xml:space="preserve"> the value of a pretrial program. </w:t>
      </w:r>
      <w:r w:rsidR="002266ED">
        <w:t>The Public Safety Assessment (PSA</w:t>
      </w:r>
      <w:r w:rsidR="002F29A6">
        <w:t>)</w:t>
      </w:r>
      <w:r>
        <w:t xml:space="preserve"> was selected to serve as the foundation of the project in the effort to </w:t>
      </w:r>
      <w:r w:rsidR="002F29A6">
        <w:t xml:space="preserve">systematically and </w:t>
      </w:r>
      <w:r w:rsidR="00371709">
        <w:t>consistently</w:t>
      </w:r>
      <w:r w:rsidR="002F29A6">
        <w:t xml:space="preserve"> </w:t>
      </w:r>
      <w:r>
        <w:t>assess issues related to release and detention</w:t>
      </w:r>
      <w:r w:rsidR="002F29A6">
        <w:t xml:space="preserve"> decisions of defendants.  The PSA is </w:t>
      </w:r>
      <w:r w:rsidR="002266ED">
        <w:t>a</w:t>
      </w:r>
      <w:r w:rsidR="00B045A8">
        <w:t xml:space="preserve">n evidence based </w:t>
      </w:r>
      <w:r w:rsidR="002266ED">
        <w:t xml:space="preserve">pretrial risk assessment instrument </w:t>
      </w:r>
      <w:r w:rsidR="00B045A8">
        <w:t xml:space="preserve">selected by Montana’s Supreme Court </w:t>
      </w:r>
      <w:r w:rsidR="002F29A6">
        <w:t xml:space="preserve">for use in Montana. The PSA </w:t>
      </w:r>
      <w:r w:rsidR="002266ED">
        <w:t>is designed to impr</w:t>
      </w:r>
      <w:r w:rsidR="00EC23FE">
        <w:t xml:space="preserve">ove the </w:t>
      </w:r>
      <w:r w:rsidR="002266ED">
        <w:t>pretria</w:t>
      </w:r>
      <w:r w:rsidR="00EC23FE">
        <w:t>l ass</w:t>
      </w:r>
      <w:r w:rsidR="00B045A8">
        <w:t xml:space="preserve">essment processes </w:t>
      </w:r>
      <w:r w:rsidR="00EC23FE">
        <w:t>piloted in Yellowstone, Missoula, Lewis and Clark, Silver Bow and Lake Counties</w:t>
      </w:r>
      <w:r w:rsidR="00B045A8">
        <w:t>.</w:t>
      </w:r>
      <w:r w:rsidR="00832D3A">
        <w:t xml:space="preserve"> Flathead and Cascade Counties currently participate in the project and utilize the PSA but receive no state resources for case management or the supervision of defendants.</w:t>
      </w:r>
    </w:p>
    <w:p w14:paraId="5248198B" w14:textId="1558E346" w:rsidR="00AD38DC" w:rsidRDefault="002F29A6" w:rsidP="005D168B">
      <w:pPr>
        <w:pStyle w:val="BodyText"/>
      </w:pPr>
      <w:r>
        <w:t>Th</w:t>
      </w:r>
      <w:r w:rsidR="00D14DCD">
        <w:t>is manual</w:t>
      </w:r>
      <w:r>
        <w:t xml:space="preserve"> was </w:t>
      </w:r>
      <w:r w:rsidR="00371709">
        <w:t>developed by</w:t>
      </w:r>
      <w:r w:rsidR="006B2ACC">
        <w:t xml:space="preserve"> the Office of the Court Administrator’s P</w:t>
      </w:r>
      <w:r w:rsidR="00EC23FE">
        <w:t xml:space="preserve">retrial Implementation Team, the Montana Pretrial Working Committee with support from the Justice System Partners/Arnold </w:t>
      </w:r>
      <w:r w:rsidR="00C957C8">
        <w:t>Ventures</w:t>
      </w:r>
      <w:r>
        <w:t xml:space="preserve">. </w:t>
      </w:r>
      <w:r w:rsidR="00AD38DC">
        <w:t>It is the goal of this manual and the Montana Judicial Branch to provide information and direction to counties partic</w:t>
      </w:r>
      <w:r w:rsidR="006B2ACC">
        <w:t>ipating in the pretrial pilot project</w:t>
      </w:r>
      <w:r w:rsidR="00DD150E">
        <w:t>.</w:t>
      </w:r>
      <w:r w:rsidR="006B2ACC">
        <w:t xml:space="preserve"> This manual</w:t>
      </w:r>
      <w:r w:rsidR="00AD38DC">
        <w:t xml:space="preserve"> is designed to </w:t>
      </w:r>
      <w:r w:rsidR="006B2ACC">
        <w:t>guide the efforts of the Office of the Court Administrator and the pilo</w:t>
      </w:r>
      <w:r w:rsidR="003820A1">
        <w:t>t</w:t>
      </w:r>
      <w:r w:rsidR="00D14DCD">
        <w:t>/participating</w:t>
      </w:r>
      <w:r w:rsidR="006B2ACC">
        <w:t xml:space="preserve"> counties to </w:t>
      </w:r>
      <w:r w:rsidR="00AD38DC">
        <w:t>enable a reasonable and safe alternative to detention for defendants awaiting a trial</w:t>
      </w:r>
      <w:r w:rsidR="006B2ACC">
        <w:t xml:space="preserve"> or other court action. The PSA</w:t>
      </w:r>
      <w:r w:rsidR="00C65299">
        <w:t xml:space="preserve"> along with this manual </w:t>
      </w:r>
      <w:r w:rsidR="00C957C8">
        <w:t xml:space="preserve">is intended to support </w:t>
      </w:r>
      <w:r w:rsidR="00C65299">
        <w:t>the effort</w:t>
      </w:r>
      <w:r w:rsidR="00C957C8">
        <w:t>s</w:t>
      </w:r>
      <w:r w:rsidR="00C65299">
        <w:t xml:space="preserve"> to ensure</w:t>
      </w:r>
      <w:r w:rsidR="00AD38DC">
        <w:t xml:space="preserve"> court order</w:t>
      </w:r>
      <w:r w:rsidR="00C65299">
        <w:t xml:space="preserve">s are </w:t>
      </w:r>
      <w:r w:rsidR="00AD38DC">
        <w:t xml:space="preserve">enforced, the community is </w:t>
      </w:r>
      <w:r w:rsidR="003A4F8C">
        <w:t>protected,</w:t>
      </w:r>
      <w:r w:rsidR="00AD38DC">
        <w:t xml:space="preserve"> and services are provided to the defendant.</w:t>
      </w:r>
    </w:p>
    <w:p w14:paraId="3308D6F8" w14:textId="5E3D7AA8" w:rsidR="00AD38DC" w:rsidRDefault="00AD38DC" w:rsidP="005D168B">
      <w:pPr>
        <w:pStyle w:val="BodyText"/>
      </w:pPr>
      <w:r>
        <w:t>Pur</w:t>
      </w:r>
      <w:r w:rsidR="00C65299">
        <w:t>pose of</w:t>
      </w:r>
      <w:r w:rsidR="005B0DFE">
        <w:t xml:space="preserve"> Montana’s Pretrial Project</w:t>
      </w:r>
    </w:p>
    <w:p w14:paraId="752BAA07" w14:textId="0E7C18E9" w:rsidR="00AD38DC" w:rsidRDefault="005B0DFE" w:rsidP="00AD38DC">
      <w:pPr>
        <w:pStyle w:val="BodyText"/>
        <w:numPr>
          <w:ilvl w:val="0"/>
          <w:numId w:val="37"/>
        </w:numPr>
      </w:pPr>
      <w:r>
        <w:t>A</w:t>
      </w:r>
      <w:r w:rsidR="00AD38DC">
        <w:t>ssist the court in making prompt, fair, and effective release/detention decisions.</w:t>
      </w:r>
      <w:r w:rsidR="00D14DCD">
        <w:t xml:space="preserve"> </w:t>
      </w:r>
      <w:r w:rsidR="009D43DE">
        <w:t>(Maximize Public Safe</w:t>
      </w:r>
      <w:r w:rsidR="00B045A8">
        <w:t>ty</w:t>
      </w:r>
      <w:r w:rsidR="009D43DE">
        <w:t>)</w:t>
      </w:r>
    </w:p>
    <w:p w14:paraId="2726C8C1" w14:textId="49D46375" w:rsidR="00AD38DC" w:rsidRDefault="00AD38DC" w:rsidP="00AD38DC">
      <w:pPr>
        <w:pStyle w:val="BodyText"/>
        <w:numPr>
          <w:ilvl w:val="0"/>
          <w:numId w:val="37"/>
        </w:numPr>
      </w:pPr>
      <w:r>
        <w:t xml:space="preserve">Provide </w:t>
      </w:r>
      <w:r w:rsidR="005B0DFE">
        <w:t xml:space="preserve">notifications and </w:t>
      </w:r>
      <w:r>
        <w:t>m</w:t>
      </w:r>
      <w:r w:rsidR="005B0DFE">
        <w:t xml:space="preserve">onitoring </w:t>
      </w:r>
      <w:r>
        <w:t>to minimize the risk of the defendant’s non-appearance at court proceedings</w:t>
      </w:r>
      <w:r w:rsidR="00D14DCD">
        <w:t xml:space="preserve"> </w:t>
      </w:r>
      <w:r w:rsidR="009D43DE">
        <w:t>(</w:t>
      </w:r>
      <w:r w:rsidR="00371709">
        <w:t>Maximize</w:t>
      </w:r>
      <w:r w:rsidR="009D43DE">
        <w:t xml:space="preserve"> Court </w:t>
      </w:r>
      <w:r w:rsidR="00371709">
        <w:t>Appearances</w:t>
      </w:r>
      <w:r w:rsidR="009D43DE">
        <w:t>)</w:t>
      </w:r>
    </w:p>
    <w:p w14:paraId="3F72AC75" w14:textId="003C3B60" w:rsidR="000E4443" w:rsidRDefault="00AD38DC" w:rsidP="00B2655A">
      <w:pPr>
        <w:pStyle w:val="BodyText"/>
        <w:numPr>
          <w:ilvl w:val="0"/>
          <w:numId w:val="37"/>
        </w:numPr>
      </w:pPr>
      <w:r>
        <w:t xml:space="preserve">Aid defendants in achieving success </w:t>
      </w:r>
      <w:r w:rsidR="005B0DFE">
        <w:t xml:space="preserve">by maintaining a crime free lifestyle </w:t>
      </w:r>
      <w:r>
        <w:t>while waiting for future court appearances by assisting with treatment/support services</w:t>
      </w:r>
      <w:r w:rsidR="00D14DCD">
        <w:t xml:space="preserve">. </w:t>
      </w:r>
      <w:r w:rsidR="009D43DE">
        <w:t xml:space="preserve">(Maximize the appropriate use of release, release conditions, </w:t>
      </w:r>
      <w:r w:rsidR="0039477D">
        <w:t>detention,</w:t>
      </w:r>
      <w:r w:rsidR="009D43DE">
        <w:t xml:space="preserve"> and public resources)</w:t>
      </w:r>
    </w:p>
    <w:p w14:paraId="76C6B15E" w14:textId="77777777" w:rsidR="005B0DFE" w:rsidRDefault="005B0DFE" w:rsidP="00B2655A">
      <w:pPr>
        <w:pStyle w:val="BodyText"/>
      </w:pPr>
    </w:p>
    <w:p w14:paraId="4B53EB7F" w14:textId="332FF0C1" w:rsidR="00360CC7" w:rsidRDefault="000136C2" w:rsidP="00360CC7">
      <w:pPr>
        <w:pStyle w:val="BodyText"/>
      </w:pPr>
      <w:r>
        <w:t>The</w:t>
      </w:r>
      <w:r w:rsidR="000E4443">
        <w:t xml:space="preserve"> Mo</w:t>
      </w:r>
      <w:r>
        <w:t>ntana pretrial project was grant</w:t>
      </w:r>
      <w:r w:rsidR="000E4443">
        <w:t xml:space="preserve">ed technical support by the Laura and John Arnold Foundation with direct </w:t>
      </w:r>
      <w:r w:rsidR="005B0DFE">
        <w:t>assistance by Justice System P</w:t>
      </w:r>
      <w:r w:rsidR="000E4443">
        <w:t xml:space="preserve">artners. </w:t>
      </w:r>
      <w:r w:rsidR="00360CC7">
        <w:t xml:space="preserve">In partnership with leading criminal justice researchers, the Laura and John Arnold Foundation (LJAF) developed the Public Safety Assessment (PSA) to help judges gauge the risk that a defendant poses. This pretrial risk assessment tool uses evidence-based, </w:t>
      </w:r>
      <w:r w:rsidR="009E653A">
        <w:t>neutral information</w:t>
      </w:r>
      <w:r w:rsidR="00360CC7">
        <w:t xml:space="preserve"> to predict the likelihood that an individual will commit a new crime if </w:t>
      </w:r>
      <w:r w:rsidR="00360CC7">
        <w:lastRenderedPageBreak/>
        <w:t>released before trial, and t</w:t>
      </w:r>
      <w:r w:rsidR="005B0DFE">
        <w:t>o predict the likelihood that the defendant</w:t>
      </w:r>
      <w:r w:rsidR="00360CC7">
        <w:t xml:space="preserve"> w</w:t>
      </w:r>
      <w:r w:rsidR="005B0DFE">
        <w:t>ill fail to return for</w:t>
      </w:r>
      <w:r w:rsidR="00360CC7">
        <w:t xml:space="preserve"> a future court hearing. In addition, it flags those defendants who present an elevated risk of committing a violent crime.</w:t>
      </w:r>
    </w:p>
    <w:p w14:paraId="3763258A" w14:textId="09E42596" w:rsidR="000D03F3" w:rsidRDefault="000D03F3" w:rsidP="00B2655A">
      <w:pPr>
        <w:pStyle w:val="BodyText"/>
      </w:pPr>
      <w:r>
        <w:t>Facts about the Public Safety Assessment (PSA)</w:t>
      </w:r>
    </w:p>
    <w:p w14:paraId="5B55E94D" w14:textId="45E0856F" w:rsidR="000D03F3" w:rsidRDefault="000D03F3" w:rsidP="00073A95">
      <w:pPr>
        <w:pStyle w:val="BodyText"/>
        <w:numPr>
          <w:ilvl w:val="0"/>
          <w:numId w:val="41"/>
        </w:numPr>
        <w:ind w:left="720"/>
      </w:pPr>
      <w:r>
        <w:t>The PSA was created using the largest, most diverse set of pretrial records ever assembled 1.5 million cases from approximately 300 jurisdictions across the United States. Researchers analyzed the data and isolated fac</w:t>
      </w:r>
      <w:r w:rsidR="009E653A">
        <w:t>t</w:t>
      </w:r>
      <w:r>
        <w:t>ors that most often exist for defendants who commit a new crime, commit a violent crime, or fail to return to court if released before trial.</w:t>
      </w:r>
    </w:p>
    <w:p w14:paraId="7EB3F314" w14:textId="1FE47B87" w:rsidR="000D03F3" w:rsidRDefault="000D03F3" w:rsidP="00073A95">
      <w:pPr>
        <w:pStyle w:val="BodyText"/>
        <w:numPr>
          <w:ilvl w:val="0"/>
          <w:numId w:val="41"/>
        </w:numPr>
        <w:ind w:left="720"/>
      </w:pPr>
      <w:r>
        <w:t xml:space="preserve">Data has been collected from 300 different cities, </w:t>
      </w:r>
      <w:r w:rsidR="003A4F8C">
        <w:t>counties,</w:t>
      </w:r>
      <w:r>
        <w:t xml:space="preserve"> and 7 state court systems (Colorado, Connecticut, Florida, Maine, Ohio, </w:t>
      </w:r>
      <w:r w:rsidR="003A4F8C">
        <w:t>Virginia,</w:t>
      </w:r>
      <w:r>
        <w:t xml:space="preserve"> and Kentucky) and the District of Columbia</w:t>
      </w:r>
    </w:p>
    <w:p w14:paraId="19CCF3F3" w14:textId="516BBBEB" w:rsidR="000D03F3" w:rsidRDefault="000D03F3" w:rsidP="00073A95">
      <w:pPr>
        <w:pStyle w:val="BodyText"/>
        <w:numPr>
          <w:ilvl w:val="0"/>
          <w:numId w:val="41"/>
        </w:numPr>
        <w:ind w:left="720"/>
      </w:pPr>
      <w:r>
        <w:t>Data was collected fro</w:t>
      </w:r>
      <w:r w:rsidR="009E653A">
        <w:t>m</w:t>
      </w:r>
      <w:r>
        <w:t xml:space="preserve"> Federal Pretrial services in all 50 states</w:t>
      </w:r>
    </w:p>
    <w:p w14:paraId="01938805" w14:textId="44114168" w:rsidR="000D03F3" w:rsidRDefault="000D03F3" w:rsidP="00073A95">
      <w:pPr>
        <w:pStyle w:val="BodyText"/>
        <w:numPr>
          <w:ilvl w:val="0"/>
          <w:numId w:val="41"/>
        </w:numPr>
        <w:ind w:left="720"/>
      </w:pPr>
      <w:r>
        <w:t>No face-to-face interview with defendant is required</w:t>
      </w:r>
    </w:p>
    <w:p w14:paraId="36CBD0AD" w14:textId="6DDD292B" w:rsidR="000D03F3" w:rsidRDefault="000D03F3" w:rsidP="00073A95">
      <w:pPr>
        <w:pStyle w:val="BodyText"/>
        <w:numPr>
          <w:ilvl w:val="0"/>
          <w:numId w:val="41"/>
        </w:numPr>
        <w:ind w:left="720"/>
      </w:pPr>
      <w:r>
        <w:t xml:space="preserve">Assessment consists of </w:t>
      </w:r>
      <w:r w:rsidR="009E653A">
        <w:t xml:space="preserve">9 risk factors that will accurately determine a defendant’s likelihood to:  commit a new offense, appear at future court </w:t>
      </w:r>
      <w:r w:rsidR="003A4F8C">
        <w:t>proceedings,</w:t>
      </w:r>
      <w:r w:rsidR="009E653A">
        <w:t xml:space="preserve"> and flag violent offense while on pretrial release status</w:t>
      </w:r>
    </w:p>
    <w:p w14:paraId="541939AB" w14:textId="636DFC70" w:rsidR="009E653A" w:rsidRDefault="009E653A" w:rsidP="00073A95">
      <w:pPr>
        <w:pStyle w:val="BodyText"/>
        <w:numPr>
          <w:ilvl w:val="0"/>
          <w:numId w:val="41"/>
        </w:numPr>
        <w:ind w:left="720"/>
      </w:pPr>
      <w:r>
        <w:t>Assessment information is similar to what is collected during a defendant’s initial booking</w:t>
      </w:r>
    </w:p>
    <w:p w14:paraId="1F40469D" w14:textId="3CA9AE2A" w:rsidR="009E653A" w:rsidRDefault="009E653A" w:rsidP="00073A95">
      <w:pPr>
        <w:pStyle w:val="BodyText"/>
        <w:numPr>
          <w:ilvl w:val="0"/>
          <w:numId w:val="41"/>
        </w:numPr>
        <w:ind w:left="720"/>
      </w:pPr>
      <w:r>
        <w:t>Assessment administrator must be accurate in reading and interpreting the CJIN/NCIC and the Montana Court Data system</w:t>
      </w:r>
    </w:p>
    <w:p w14:paraId="0D7F4741" w14:textId="062EA0EE" w:rsidR="009E653A" w:rsidRDefault="009E653A" w:rsidP="00073A95">
      <w:pPr>
        <w:pStyle w:val="BodyText"/>
        <w:numPr>
          <w:ilvl w:val="0"/>
          <w:numId w:val="41"/>
        </w:numPr>
        <w:ind w:left="720"/>
      </w:pPr>
      <w:r>
        <w:t>The PSA is objective. It does not consider subjective factors such as: race, gender, income, religion, education, home address and family</w:t>
      </w:r>
    </w:p>
    <w:p w14:paraId="7037FA76" w14:textId="696F9675" w:rsidR="009E653A" w:rsidRDefault="009E653A" w:rsidP="00073A95">
      <w:pPr>
        <w:pStyle w:val="BodyText"/>
        <w:numPr>
          <w:ilvl w:val="0"/>
          <w:numId w:val="41"/>
        </w:numPr>
        <w:ind w:left="720"/>
      </w:pPr>
      <w:r>
        <w:t xml:space="preserve">PSA promotes consistent application of release conditions using a </w:t>
      </w:r>
      <w:r w:rsidR="00317572">
        <w:t>decision</w:t>
      </w:r>
      <w:r w:rsidR="00D14DCD">
        <w:t>-</w:t>
      </w:r>
      <w:r w:rsidR="00317572">
        <w:t xml:space="preserve">making framework, </w:t>
      </w:r>
      <w:r w:rsidR="00E413F0">
        <w:t>DMF, developed</w:t>
      </w:r>
      <w:r>
        <w:t xml:space="preserve"> by each state/jurisdiction</w:t>
      </w:r>
    </w:p>
    <w:p w14:paraId="5D5C65FD" w14:textId="3BC54143" w:rsidR="009E653A" w:rsidRDefault="009E653A" w:rsidP="00073A95">
      <w:pPr>
        <w:pStyle w:val="BodyText"/>
        <w:numPr>
          <w:ilvl w:val="0"/>
          <w:numId w:val="41"/>
        </w:numPr>
        <w:ind w:left="720"/>
      </w:pPr>
      <w:r>
        <w:t>The PSA minimizes dual system errors (releasing high risk and detaining low risk defendants)</w:t>
      </w:r>
    </w:p>
    <w:p w14:paraId="30BF73AB" w14:textId="2BF8B157" w:rsidR="009E653A" w:rsidRDefault="009E653A" w:rsidP="00073A95">
      <w:pPr>
        <w:pStyle w:val="BodyText"/>
        <w:numPr>
          <w:ilvl w:val="0"/>
          <w:numId w:val="41"/>
        </w:numPr>
        <w:ind w:left="720"/>
      </w:pPr>
      <w:r>
        <w:t>LJAF and justice system partners have influenced the field of pretrial services and assessments with the PSA</w:t>
      </w:r>
    </w:p>
    <w:p w14:paraId="17DA4794" w14:textId="31BE1DC2" w:rsidR="009E653A" w:rsidRPr="00317572" w:rsidRDefault="009E653A" w:rsidP="00073A95">
      <w:pPr>
        <w:pStyle w:val="BodyText"/>
        <w:numPr>
          <w:ilvl w:val="0"/>
          <w:numId w:val="41"/>
        </w:numPr>
        <w:ind w:left="720"/>
        <w:rPr>
          <w:b/>
          <w:bCs/>
          <w:i/>
          <w:iCs/>
        </w:rPr>
      </w:pPr>
      <w:r>
        <w:t xml:space="preserve">Neutral factors can help judges gauge the risk that a defendant poses, they do not impede a judge’s discretion or authority in any way. </w:t>
      </w:r>
      <w:r w:rsidRPr="00317572">
        <w:rPr>
          <w:b/>
          <w:bCs/>
          <w:i/>
          <w:iCs/>
        </w:rPr>
        <w:t>The decision about whether to release or detain a defendant always rests with the judge regardless of the scores produced by the risk assessment</w:t>
      </w:r>
    </w:p>
    <w:p w14:paraId="2E366FEF" w14:textId="79E20234" w:rsidR="009E653A" w:rsidRDefault="009E653A" w:rsidP="009E653A">
      <w:pPr>
        <w:pStyle w:val="BodyText"/>
      </w:pPr>
      <w:r>
        <w:lastRenderedPageBreak/>
        <w:t>Post-conviction related studies have shown</w:t>
      </w:r>
    </w:p>
    <w:p w14:paraId="6B8C212F" w14:textId="3AC6E12D" w:rsidR="009E653A" w:rsidRDefault="009E653A" w:rsidP="009E653A">
      <w:pPr>
        <w:pStyle w:val="BodyText"/>
        <w:numPr>
          <w:ilvl w:val="0"/>
          <w:numId w:val="42"/>
        </w:numPr>
      </w:pPr>
      <w:r>
        <w:t xml:space="preserve">Treatment resources targeted toward low risk offenders produce </w:t>
      </w:r>
      <w:r w:rsidR="003A4F8C">
        <w:t>little if</w:t>
      </w:r>
      <w:r>
        <w:t xml:space="preserve"> any positive effect</w:t>
      </w:r>
    </w:p>
    <w:p w14:paraId="2112105E" w14:textId="4F9560FC" w:rsidR="009E653A" w:rsidRDefault="009E653A" w:rsidP="009E653A">
      <w:pPr>
        <w:pStyle w:val="BodyText"/>
        <w:numPr>
          <w:ilvl w:val="0"/>
          <w:numId w:val="42"/>
        </w:numPr>
      </w:pPr>
      <w:r>
        <w:t>Criminal history risk factors, those obtained without an interview, are the strongest predictors of FTA and NCA (new research)</w:t>
      </w:r>
    </w:p>
    <w:p w14:paraId="7FFE0867" w14:textId="5A779160" w:rsidR="009E653A" w:rsidRDefault="009E653A" w:rsidP="009E653A">
      <w:pPr>
        <w:pStyle w:val="BodyText"/>
        <w:numPr>
          <w:ilvl w:val="0"/>
          <w:numId w:val="42"/>
        </w:numPr>
      </w:pPr>
      <w:r>
        <w:t>Pretrial risk assessments that contain only non-interview dependent risk factors are equally predictive as those that include interview –dependent risk factors.</w:t>
      </w:r>
    </w:p>
    <w:p w14:paraId="5D106ECD" w14:textId="3D9A5B32" w:rsidR="009E653A" w:rsidRDefault="009E653A" w:rsidP="009E653A">
      <w:pPr>
        <w:pStyle w:val="BodyText"/>
        <w:numPr>
          <w:ilvl w:val="0"/>
          <w:numId w:val="42"/>
        </w:numPr>
        <w:sectPr w:rsidR="009E653A" w:rsidSect="00902A6C">
          <w:headerReference w:type="default" r:id="rId10"/>
          <w:footerReference w:type="default" r:id="rId11"/>
          <w:headerReference w:type="first" r:id="rId12"/>
          <w:pgSz w:w="12240" w:h="15840" w:code="1"/>
          <w:pgMar w:top="1800" w:right="1195" w:bottom="1440" w:left="3355" w:header="720" w:footer="720" w:gutter="0"/>
          <w:cols w:space="720"/>
          <w:titlePg/>
          <w:docGrid w:linePitch="218"/>
        </w:sectPr>
      </w:pPr>
      <w:r>
        <w:t>Research shows the criminal history/system involvement factors are usually the stronger predictors</w:t>
      </w:r>
    </w:p>
    <w:p w14:paraId="574604B1" w14:textId="6E957517" w:rsidR="006765AB" w:rsidRDefault="00912D42" w:rsidP="006765AB">
      <w:pPr>
        <w:pStyle w:val="ChapterTitle"/>
      </w:pPr>
      <w:r>
        <w:lastRenderedPageBreak/>
        <w:t>Glossary of Terms</w:t>
      </w:r>
    </w:p>
    <w:p w14:paraId="342ED318" w14:textId="6A546E9E" w:rsidR="006765AB" w:rsidRDefault="006765AB" w:rsidP="006765AB">
      <w:pPr>
        <w:pStyle w:val="BodyText"/>
      </w:pPr>
      <w:r>
        <w:t>AutoMon – Management information system</w:t>
      </w:r>
      <w:r w:rsidR="00384B27">
        <w:t>, selected by Montana to aid in notification and tracking of defendants involved in the pretrial project.</w:t>
      </w:r>
      <w:r w:rsidR="00670657">
        <w:t xml:space="preserve"> The system is available to the pilot</w:t>
      </w:r>
      <w:r w:rsidR="00D14DCD">
        <w:t>/participating counties</w:t>
      </w:r>
      <w:r w:rsidR="00670657">
        <w:t xml:space="preserve"> for the management of pretrial cases.</w:t>
      </w:r>
    </w:p>
    <w:p w14:paraId="0364FC91" w14:textId="77777777" w:rsidR="006765AB" w:rsidRDefault="006765AB" w:rsidP="006765AB">
      <w:pPr>
        <w:pStyle w:val="BodyText"/>
      </w:pPr>
      <w:r>
        <w:t>Court – District court or court of limited jurisdiction.</w:t>
      </w:r>
    </w:p>
    <w:p w14:paraId="75261596" w14:textId="4E4528A0" w:rsidR="00963DC4" w:rsidRDefault="006765AB" w:rsidP="006765AB">
      <w:pPr>
        <w:pStyle w:val="BodyText"/>
      </w:pPr>
      <w:r>
        <w:t xml:space="preserve">Defendant – A person who has been arrested for a felony </w:t>
      </w:r>
      <w:r w:rsidR="00711756">
        <w:t xml:space="preserve">or misdemeanor </w:t>
      </w:r>
      <w:r>
        <w:t>offense and has been cha</w:t>
      </w:r>
      <w:r w:rsidR="00384B27">
        <w:t>rged with the offense in a pretrial pilot</w:t>
      </w:r>
      <w:r w:rsidR="00D14DCD">
        <w:t>/participating</w:t>
      </w:r>
      <w:r w:rsidR="00384B27">
        <w:t xml:space="preserve"> county.</w:t>
      </w:r>
    </w:p>
    <w:p w14:paraId="6FE519C7" w14:textId="7398852A" w:rsidR="00670657" w:rsidRDefault="00670657" w:rsidP="00670657">
      <w:pPr>
        <w:pStyle w:val="BodyText"/>
      </w:pPr>
      <w:r>
        <w:t>FTA- Failure to Appear.  An FTA occurs when a defendant chooses not to attend a scheduled court proceeding.  The inaction of the defendant leads to the issuance of a warrant by the presiding judge.</w:t>
      </w:r>
    </w:p>
    <w:p w14:paraId="3D399E1C" w14:textId="794F8525" w:rsidR="009A4A64" w:rsidRDefault="009A4A64" w:rsidP="00670657">
      <w:pPr>
        <w:pStyle w:val="BodyText"/>
      </w:pPr>
      <w:r>
        <w:t>Participating County- A Montana County that has entered into an agreement with the Office of the Court Administrator to utilize the PSA and the services provided by the OCA’s processing staff.  Participating counties are not part of the original pilot project and receive no state funds for case management and defendant supervision.</w:t>
      </w:r>
    </w:p>
    <w:p w14:paraId="7AB3C4E3" w14:textId="0EFD61A5" w:rsidR="002A2832" w:rsidRDefault="002A2832" w:rsidP="00670657">
      <w:pPr>
        <w:pStyle w:val="BodyText"/>
      </w:pPr>
      <w:r>
        <w:t>Performance Measurement Report (</w:t>
      </w:r>
      <w:r w:rsidR="00963DC4">
        <w:t>PMR)</w:t>
      </w:r>
      <w:r w:rsidR="008A46AD">
        <w:t xml:space="preserve"> </w:t>
      </w:r>
      <w:r w:rsidR="00963DC4">
        <w:t>-</w:t>
      </w:r>
      <w:r w:rsidR="008A46AD">
        <w:t xml:space="preserve"> </w:t>
      </w:r>
      <w:r w:rsidR="00963DC4">
        <w:t>The formal report adopted and approved by the Office of the Court Administrator to measure</w:t>
      </w:r>
      <w:r w:rsidR="00444850">
        <w:t xml:space="preserve"> the </w:t>
      </w:r>
      <w:r w:rsidR="00963DC4">
        <w:t>outcomes of defendants participating in the pretrial project.</w:t>
      </w:r>
    </w:p>
    <w:p w14:paraId="4C531D77" w14:textId="77777777" w:rsidR="006765AB" w:rsidRDefault="006765AB" w:rsidP="006765AB">
      <w:pPr>
        <w:pStyle w:val="BodyText"/>
      </w:pPr>
      <w:r>
        <w:t>Pilot County – One of the five counties selected to pilot the pretrial project. The five counties include: Yellowstone, Missoula, Lewis and Clark, Silver Bow and Lake.</w:t>
      </w:r>
    </w:p>
    <w:p w14:paraId="2B9E34ED" w14:textId="5697E6FD" w:rsidR="006765AB" w:rsidRDefault="006765AB" w:rsidP="006765AB">
      <w:pPr>
        <w:pStyle w:val="BodyText"/>
      </w:pPr>
      <w:r>
        <w:t xml:space="preserve">Pretrial Case Manager – The individual assigned by a pilot county and given the authority to aid a </w:t>
      </w:r>
      <w:r w:rsidR="00384B27">
        <w:t>defendant during pretrial release</w:t>
      </w:r>
      <w:r w:rsidR="00046030">
        <w:t>.</w:t>
      </w:r>
    </w:p>
    <w:p w14:paraId="6F6121A4" w14:textId="0E5E5528" w:rsidR="006765AB" w:rsidRDefault="00046030" w:rsidP="006765AB">
      <w:pPr>
        <w:pStyle w:val="BodyText"/>
      </w:pPr>
      <w:r>
        <w:t>PSA (</w:t>
      </w:r>
      <w:r w:rsidR="00384B27">
        <w:t xml:space="preserve">Public Safety </w:t>
      </w:r>
      <w:r>
        <w:t>Assessment</w:t>
      </w:r>
      <w:r w:rsidR="00384B27">
        <w:t>)</w:t>
      </w:r>
      <w:r w:rsidR="006765AB">
        <w:t xml:space="preserve"> – Instrument approved by the Judicial Branch to be utilized in determining the suitability for pretrial release</w:t>
      </w:r>
      <w:r w:rsidR="00384B27">
        <w:t xml:space="preserve"> in all pretrial pilot counties.</w:t>
      </w:r>
    </w:p>
    <w:p w14:paraId="7C547D98" w14:textId="42A82AF2" w:rsidR="006765AB" w:rsidRDefault="006765AB" w:rsidP="006765AB">
      <w:pPr>
        <w:pStyle w:val="BodyText"/>
      </w:pPr>
      <w:r>
        <w:t>Pretrial Services – Programs designed to assist defendants during pretrial release.</w:t>
      </w:r>
      <w:r w:rsidR="00384B27">
        <w:t xml:space="preserve"> </w:t>
      </w:r>
    </w:p>
    <w:p w14:paraId="50633B83" w14:textId="6AC4BC07" w:rsidR="006765AB" w:rsidRDefault="006765AB" w:rsidP="006765AB">
      <w:pPr>
        <w:pStyle w:val="BodyText"/>
      </w:pPr>
      <w:r>
        <w:t>Processor – The person</w:t>
      </w:r>
      <w:r w:rsidR="00384B27">
        <w:t xml:space="preserve"> or persons </w:t>
      </w:r>
      <w:r>
        <w:t>hired by the office of the Court Administrator to assess defendants, via a PSA, who are referred by a pilot</w:t>
      </w:r>
      <w:r w:rsidR="00D14DCD">
        <w:t>/participating</w:t>
      </w:r>
      <w:r>
        <w:t xml:space="preserve"> detention facility staff prior to an initial court appearance.</w:t>
      </w:r>
    </w:p>
    <w:p w14:paraId="09EEDDD8" w14:textId="79453876" w:rsidR="006765AB" w:rsidRDefault="006765AB" w:rsidP="006765AB">
      <w:pPr>
        <w:pStyle w:val="BodyText"/>
      </w:pPr>
      <w:r>
        <w:t>Program Success – A successful defendant of the pretrial project will be one who: makes all court scheduled court appearances, complies with all requirements imposed during the pretrial release program and abides by all local, state, and federal laws during the pretrial release period.</w:t>
      </w:r>
    </w:p>
    <w:p w14:paraId="6F94026C" w14:textId="12424F0E" w:rsidR="00D41DBF" w:rsidRDefault="00D41DBF" w:rsidP="006765AB">
      <w:pPr>
        <w:pStyle w:val="BodyText"/>
      </w:pPr>
      <w:r>
        <w:lastRenderedPageBreak/>
        <w:t>Quashed- When a decision is made by the court that a warrant issued on a defendant is no longer valid or acted upon.</w:t>
      </w:r>
    </w:p>
    <w:p w14:paraId="2BC1655C" w14:textId="77777777" w:rsidR="006765AB" w:rsidRDefault="006765AB" w:rsidP="006765AB">
      <w:pPr>
        <w:pStyle w:val="BodyText"/>
      </w:pPr>
      <w:r>
        <w:t>Risk – Measurable factors that correlate to a pretrial defendant’s probability of committing a new crime or failing to appear while on pretrial release.</w:t>
      </w:r>
    </w:p>
    <w:p w14:paraId="355A559C" w14:textId="77777777" w:rsidR="006765AB" w:rsidRDefault="006765AB" w:rsidP="006765AB">
      <w:pPr>
        <w:pStyle w:val="BodyText"/>
      </w:pPr>
      <w:r>
        <w:t>Supervision – A way to monitor the activities and behavior of a person who is released to the community by the court.</w:t>
      </w:r>
    </w:p>
    <w:p w14:paraId="65931DAF" w14:textId="77777777" w:rsidR="006765AB" w:rsidRDefault="006765AB" w:rsidP="006765AB">
      <w:pPr>
        <w:pStyle w:val="BodyText"/>
      </w:pPr>
      <w:r>
        <w:t>Supervision Plan – The signed agreement that details the requirements of the defendant for release.</w:t>
      </w:r>
    </w:p>
    <w:p w14:paraId="5D168A04" w14:textId="53074B32" w:rsidR="00360CC7" w:rsidRDefault="006765AB" w:rsidP="00B2655A">
      <w:pPr>
        <w:pStyle w:val="BodyText"/>
      </w:pPr>
      <w:r>
        <w:t xml:space="preserve">Target Population – All defendants </w:t>
      </w:r>
      <w:r w:rsidR="00371709">
        <w:t xml:space="preserve">who allegedly committed an offense in one of the </w:t>
      </w:r>
      <w:proofErr w:type="gramStart"/>
      <w:r w:rsidR="00912D42">
        <w:t>pilot</w:t>
      </w:r>
      <w:proofErr w:type="gramEnd"/>
      <w:r w:rsidR="00912D42">
        <w:t xml:space="preserve">/participating </w:t>
      </w:r>
      <w:r w:rsidR="00371709">
        <w:t xml:space="preserve">counties and </w:t>
      </w:r>
      <w:r>
        <w:t xml:space="preserve">who are pending judicial action within the next 12 months. Targeted defendants must be eligible for bail under </w:t>
      </w:r>
      <w:r w:rsidR="00F329A8" w:rsidRPr="00F329A8">
        <w:t>Montana Code</w:t>
      </w:r>
      <w:r w:rsidR="003820A1">
        <w:t xml:space="preserve"> Annotated</w:t>
      </w:r>
      <w:r w:rsidRPr="00F329A8">
        <w:t xml:space="preserve"> </w:t>
      </w:r>
      <w:r w:rsidR="00711756">
        <w:t>46-9-401</w:t>
      </w:r>
      <w:r w:rsidR="00670657">
        <w:t xml:space="preserve"> and 46-9-301.</w:t>
      </w:r>
    </w:p>
    <w:p w14:paraId="28809334" w14:textId="3B3233E1" w:rsidR="001F0F08" w:rsidRDefault="00D41DBF" w:rsidP="00B2655A">
      <w:pPr>
        <w:pStyle w:val="BodyText"/>
        <w:sectPr w:rsidR="001F0F08" w:rsidSect="00EB2163">
          <w:headerReference w:type="default" r:id="rId13"/>
          <w:headerReference w:type="first" r:id="rId14"/>
          <w:pgSz w:w="12240" w:h="15840" w:code="1"/>
          <w:pgMar w:top="1800" w:right="1195" w:bottom="1440" w:left="3355" w:header="720" w:footer="720" w:gutter="0"/>
          <w:cols w:space="720"/>
          <w:titlePg/>
          <w:docGrid w:linePitch="218"/>
        </w:sectPr>
      </w:pPr>
      <w:r>
        <w:t>Warrant</w:t>
      </w:r>
      <w:r w:rsidR="008A46AD">
        <w:t xml:space="preserve"> </w:t>
      </w:r>
      <w:r>
        <w:t>-</w:t>
      </w:r>
      <w:r w:rsidR="008A46AD">
        <w:t xml:space="preserve"> </w:t>
      </w:r>
      <w:r>
        <w:t xml:space="preserve">A document issued by a judge to arrest </w:t>
      </w:r>
      <w:r w:rsidR="001F0F08">
        <w:t>an individual for failure to follow direction and/or conditions established by the court while the individual’s court action is pending.</w:t>
      </w:r>
    </w:p>
    <w:p w14:paraId="161BFC06" w14:textId="2CDA5AC0" w:rsidR="007B54A9" w:rsidRDefault="007B54A9" w:rsidP="007B54A9">
      <w:pPr>
        <w:pStyle w:val="ChapterTitle"/>
      </w:pPr>
      <w:r>
        <w:lastRenderedPageBreak/>
        <w:t>C</w:t>
      </w:r>
      <w:r w:rsidR="000A4CF3">
        <w:t xml:space="preserve">ounty Notification </w:t>
      </w:r>
      <w:r>
        <w:t>Process</w:t>
      </w:r>
    </w:p>
    <w:p w14:paraId="4FD82FA5" w14:textId="33A8BA1D" w:rsidR="00832D3A" w:rsidRDefault="00832D3A" w:rsidP="00832D3A">
      <w:pPr>
        <w:pStyle w:val="ChapterSubtitle"/>
      </w:pPr>
    </w:p>
    <w:p w14:paraId="6AF8B6F6" w14:textId="59DCB220" w:rsidR="00832D3A" w:rsidRDefault="00832D3A" w:rsidP="00832D3A">
      <w:pPr>
        <w:pStyle w:val="BodyText"/>
      </w:pPr>
      <w:r>
        <w:t>The success of Montana’s pretrial projec</w:t>
      </w:r>
      <w:r w:rsidR="001F0F08">
        <w:t>t</w:t>
      </w:r>
      <w:r>
        <w:t xml:space="preserve"> hinges on open and on</w:t>
      </w:r>
      <w:r w:rsidR="009A4A64">
        <w:t>-</w:t>
      </w:r>
      <w:r>
        <w:t>going communication between each</w:t>
      </w:r>
      <w:r w:rsidR="00E446C7">
        <w:t xml:space="preserve"> pilot/</w:t>
      </w:r>
      <w:r>
        <w:t xml:space="preserve">participating </w:t>
      </w:r>
      <w:r w:rsidR="009A4A64">
        <w:t>county. There</w:t>
      </w:r>
      <w:r w:rsidR="004F6216">
        <w:t xml:space="preserve"> </w:t>
      </w:r>
      <w:r w:rsidR="009A4A64">
        <w:t>are t</w:t>
      </w:r>
      <w:r w:rsidR="004F6216">
        <w:t>w</w:t>
      </w:r>
      <w:r w:rsidR="009A4A64">
        <w:t>o d</w:t>
      </w:r>
      <w:r w:rsidR="004F6216">
        <w:t>o</w:t>
      </w:r>
      <w:r w:rsidR="009A4A64">
        <w:t>cuments adopte</w:t>
      </w:r>
      <w:r w:rsidR="004F6216">
        <w:t>d</w:t>
      </w:r>
      <w:r w:rsidR="009A4A64">
        <w:t xml:space="preserve"> and approved by the OCA and representatives of each county.</w:t>
      </w:r>
    </w:p>
    <w:p w14:paraId="2DFD6F32" w14:textId="2A73DE04" w:rsidR="009A4A64" w:rsidRDefault="009A4A64" w:rsidP="009A4A64">
      <w:pPr>
        <w:pStyle w:val="BodyText"/>
        <w:numPr>
          <w:ilvl w:val="0"/>
          <w:numId w:val="43"/>
        </w:numPr>
      </w:pPr>
      <w:r>
        <w:t>Interagency Agreement (IA) The county commissioners and the Supreme Court Administrator sign off on this agreement at the inception of the project in each county.</w:t>
      </w:r>
      <w:r w:rsidR="004F6216">
        <w:t xml:space="preserve">  The IA contains specific language to ensure that the OCA is notified </w:t>
      </w:r>
      <w:r w:rsidR="003A4F8C">
        <w:t>of actions</w:t>
      </w:r>
      <w:r w:rsidR="004F6216">
        <w:t xml:space="preserve"> related to defendants in the county, Spec</w:t>
      </w:r>
      <w:r w:rsidR="00D67B2C">
        <w:t>ifically,</w:t>
      </w:r>
      <w:r w:rsidR="004F6216">
        <w:t xml:space="preserve"> the IA indicates the following are required “duties and responsibilities” of the county:</w:t>
      </w:r>
    </w:p>
    <w:p w14:paraId="35252D90" w14:textId="2DA2B2C3" w:rsidR="004F6216" w:rsidRDefault="004F6216" w:rsidP="004F6216">
      <w:pPr>
        <w:pStyle w:val="BodyText"/>
      </w:pPr>
      <w:r>
        <w:t>Ensure that a method of defendant notification for all court appearances is developed and maintained as part of the pretrial program.</w:t>
      </w:r>
    </w:p>
    <w:p w14:paraId="2B6A7713" w14:textId="74FEA07D" w:rsidR="004558BF" w:rsidRDefault="004F6216" w:rsidP="004F6216">
      <w:pPr>
        <w:pStyle w:val="BodyText"/>
      </w:pPr>
      <w:r>
        <w:t>Enter arrest, detention and release data on all individuals arrested in a in a pilot</w:t>
      </w:r>
      <w:r w:rsidR="00E446C7">
        <w:t>/participating county</w:t>
      </w:r>
      <w:r>
        <w:t xml:space="preserve"> for an offense into the AutoMon</w:t>
      </w:r>
      <w:r w:rsidR="004558BF">
        <w:t xml:space="preserve"> information</w:t>
      </w:r>
      <w:r>
        <w:t xml:space="preserve"> system.</w:t>
      </w:r>
    </w:p>
    <w:p w14:paraId="154D2BCC" w14:textId="3CAE97F3" w:rsidR="00126541" w:rsidRDefault="004F6216" w:rsidP="004F6216">
      <w:pPr>
        <w:pStyle w:val="BodyText"/>
      </w:pPr>
      <w:r>
        <w:t xml:space="preserve">      2.   </w:t>
      </w:r>
      <w:r w:rsidR="004558BF">
        <w:t>Work</w:t>
      </w:r>
      <w:r w:rsidR="00126541">
        <w:t>-fl</w:t>
      </w:r>
      <w:r w:rsidR="004558BF">
        <w:t>ow Document.  As part of each pilot/participating county stakeholder meetings, orientation meetings a draft work</w:t>
      </w:r>
      <w:r w:rsidR="00126541">
        <w:t>-flow</w:t>
      </w:r>
      <w:r w:rsidR="004558BF">
        <w:t xml:space="preserve"> document </w:t>
      </w:r>
      <w:r w:rsidR="00D67B2C">
        <w:t>is</w:t>
      </w:r>
      <w:r w:rsidR="004558BF">
        <w:t xml:space="preserve"> presented to stakeholders.  Each individual document </w:t>
      </w:r>
      <w:r w:rsidR="00D67B2C">
        <w:t>is</w:t>
      </w:r>
      <w:r w:rsidR="004558BF">
        <w:t xml:space="preserve"> developed jointly between representatives from the county and the OCA.  The docume</w:t>
      </w:r>
      <w:r w:rsidR="00126541">
        <w:t>nt po</w:t>
      </w:r>
      <w:r w:rsidR="004558BF">
        <w:t>rtrays a step by step procedure that is activated upon the arrest and booking of a de</w:t>
      </w:r>
      <w:r w:rsidR="00126541">
        <w:t>fendant</w:t>
      </w:r>
      <w:r w:rsidR="004558BF">
        <w:t>.  The procedure outlined in the work</w:t>
      </w:r>
      <w:r w:rsidR="00126541">
        <w:t>-</w:t>
      </w:r>
      <w:r w:rsidR="004558BF">
        <w:t xml:space="preserve">flow document includes initial notification to the OCA processors that a defendant was arrested and booked and a PSA needs to be prepared.  </w:t>
      </w:r>
    </w:p>
    <w:p w14:paraId="1B68D446" w14:textId="188B2EE0" w:rsidR="00073A95" w:rsidRDefault="004558BF" w:rsidP="00073A95">
      <w:pPr>
        <w:pStyle w:val="BodyText"/>
      </w:pPr>
      <w:r>
        <w:t xml:space="preserve">Attached is a sample </w:t>
      </w:r>
      <w:r w:rsidR="00126541">
        <w:t xml:space="preserve">of the “work-flow” document that </w:t>
      </w:r>
      <w:r w:rsidR="00D67B2C">
        <w:t>indicates</w:t>
      </w:r>
      <w:r w:rsidR="00126541">
        <w:t xml:space="preserve"> the county’s required notification procedures.</w:t>
      </w:r>
      <w:r w:rsidR="00444850">
        <w:t xml:space="preserve">  The participating county is required to complete steps 1-3, 6-9 and step 11 of the “</w:t>
      </w:r>
      <w:r w:rsidR="0039477D">
        <w:t>workflow</w:t>
      </w:r>
      <w:r w:rsidR="00444850">
        <w:t>” document.</w:t>
      </w:r>
    </w:p>
    <w:p w14:paraId="76C3E8D4" w14:textId="26AA2EB5" w:rsidR="00073A95" w:rsidRDefault="00073A95" w:rsidP="00073A95">
      <w:pPr>
        <w:pStyle w:val="BodyText"/>
      </w:pPr>
    </w:p>
    <w:p w14:paraId="17AA25BA" w14:textId="598A3899" w:rsidR="00073A95" w:rsidRDefault="00073A95" w:rsidP="00073A95">
      <w:pPr>
        <w:pStyle w:val="BodyText"/>
      </w:pPr>
    </w:p>
    <w:p w14:paraId="735BA635" w14:textId="585C540D" w:rsidR="001C13D3" w:rsidRPr="001C13D3" w:rsidRDefault="001C13D3" w:rsidP="001C13D3">
      <w:pPr>
        <w:jc w:val="center"/>
        <w:rPr>
          <w:rFonts w:ascii="Cambria" w:hAnsi="Cambria"/>
          <w:b/>
          <w:sz w:val="28"/>
          <w:szCs w:val="28"/>
        </w:rPr>
      </w:pPr>
      <w:r>
        <w:rPr>
          <w:rFonts w:ascii="Cambria" w:hAnsi="Cambria"/>
          <w:b/>
          <w:sz w:val="28"/>
          <w:szCs w:val="28"/>
        </w:rPr>
        <w:t>SAMPLE</w:t>
      </w:r>
      <w:r>
        <w:rPr>
          <w:rFonts w:ascii="Cambria" w:hAnsi="Cambria"/>
          <w:b/>
          <w:sz w:val="28"/>
          <w:szCs w:val="28"/>
        </w:rPr>
        <w:br/>
      </w:r>
      <w:r w:rsidRPr="001C13D3">
        <w:rPr>
          <w:rFonts w:ascii="Cambria" w:hAnsi="Cambria"/>
          <w:b/>
          <w:sz w:val="28"/>
          <w:szCs w:val="28"/>
        </w:rPr>
        <w:t xml:space="preserve">Defendant Public Safety Assessment (PSA) </w:t>
      </w:r>
      <w:proofErr w:type="gramStart"/>
      <w:r w:rsidRPr="001C13D3">
        <w:rPr>
          <w:rFonts w:ascii="Cambria" w:hAnsi="Cambria"/>
          <w:b/>
          <w:sz w:val="28"/>
          <w:szCs w:val="28"/>
        </w:rPr>
        <w:t>Work Flow</w:t>
      </w:r>
      <w:proofErr w:type="gramEnd"/>
    </w:p>
    <w:p w14:paraId="1E0443F4" w14:textId="77777777" w:rsidR="001C13D3" w:rsidRPr="005268C8" w:rsidRDefault="001C13D3" w:rsidP="001C13D3">
      <w:pPr>
        <w:jc w:val="center"/>
        <w:rPr>
          <w:rFonts w:ascii="Cambria" w:hAnsi="Cambria"/>
          <w:sz w:val="28"/>
          <w:szCs w:val="28"/>
        </w:rPr>
      </w:pPr>
      <w:r w:rsidRPr="005268C8">
        <w:rPr>
          <w:rFonts w:ascii="Cambria" w:hAnsi="Cambria"/>
          <w:sz w:val="28"/>
          <w:szCs w:val="28"/>
        </w:rPr>
        <w:t>Yellowstone County Pretrial P</w:t>
      </w:r>
      <w:r>
        <w:rPr>
          <w:rFonts w:ascii="Cambria" w:hAnsi="Cambria"/>
          <w:sz w:val="28"/>
          <w:szCs w:val="28"/>
        </w:rPr>
        <w:t>ilot P</w:t>
      </w:r>
      <w:r w:rsidRPr="005268C8">
        <w:rPr>
          <w:rFonts w:ascii="Cambria" w:hAnsi="Cambria"/>
          <w:sz w:val="28"/>
          <w:szCs w:val="28"/>
        </w:rPr>
        <w:t>rogram</w:t>
      </w:r>
    </w:p>
    <w:p w14:paraId="03D2720D" w14:textId="77777777" w:rsidR="001C13D3" w:rsidRPr="00457557" w:rsidRDefault="001C13D3" w:rsidP="001C13D3">
      <w:pPr>
        <w:rPr>
          <w:rFonts w:ascii="Cambria" w:hAnsi="Cambria"/>
          <w:sz w:val="24"/>
          <w:szCs w:val="24"/>
        </w:rPr>
      </w:pPr>
    </w:p>
    <w:p w14:paraId="3B6E16F1" w14:textId="77777777" w:rsidR="001C13D3" w:rsidRPr="00457557" w:rsidRDefault="001C13D3" w:rsidP="001C13D3">
      <w:pPr>
        <w:rPr>
          <w:rFonts w:ascii="Cambria" w:hAnsi="Cambria"/>
          <w:sz w:val="24"/>
          <w:szCs w:val="24"/>
        </w:rPr>
      </w:pPr>
      <w:r w:rsidRPr="00457557">
        <w:rPr>
          <w:rFonts w:ascii="Cambria" w:hAnsi="Cambria"/>
          <w:sz w:val="24"/>
          <w:szCs w:val="24"/>
          <w:u w:val="single"/>
        </w:rPr>
        <w:lastRenderedPageBreak/>
        <w:t>OCA Processor</w:t>
      </w:r>
      <w:r w:rsidRPr="00457557">
        <w:rPr>
          <w:rFonts w:ascii="Cambria" w:hAnsi="Cambria"/>
          <w:sz w:val="24"/>
          <w:szCs w:val="24"/>
        </w:rPr>
        <w:t xml:space="preserve"> – staff in the Office of the Court Administrator that will receive, process, and return the PSA to the county for the Judicial Officer’s review prior to a first hearing. </w:t>
      </w:r>
    </w:p>
    <w:p w14:paraId="0972FA90" w14:textId="77777777" w:rsidR="001C13D3" w:rsidRPr="00457557" w:rsidRDefault="001C13D3" w:rsidP="001C13D3">
      <w:pPr>
        <w:rPr>
          <w:rFonts w:ascii="Cambria" w:hAnsi="Cambria"/>
          <w:sz w:val="24"/>
          <w:szCs w:val="24"/>
        </w:rPr>
      </w:pPr>
      <w:r w:rsidRPr="00457557">
        <w:rPr>
          <w:rFonts w:ascii="Cambria" w:hAnsi="Cambria"/>
          <w:sz w:val="24"/>
          <w:szCs w:val="24"/>
          <w:u w:val="single"/>
        </w:rPr>
        <w:t>Pretrial Case Manager</w:t>
      </w:r>
      <w:r w:rsidRPr="00457557">
        <w:rPr>
          <w:rFonts w:ascii="Cambria" w:hAnsi="Cambria"/>
          <w:sz w:val="24"/>
          <w:szCs w:val="24"/>
        </w:rPr>
        <w:t xml:space="preserve"> – staff that will coordinate the county’s pretrial program and ensure pretrial supervision, data entry and reporting, and communication with stakeholders.</w:t>
      </w:r>
    </w:p>
    <w:p w14:paraId="1B032614" w14:textId="77777777" w:rsidR="001C13D3" w:rsidRPr="00457557" w:rsidRDefault="001C13D3" w:rsidP="001C13D3">
      <w:pPr>
        <w:rPr>
          <w:rFonts w:ascii="Cambria" w:hAnsi="Cambria"/>
          <w:sz w:val="28"/>
          <w:szCs w:val="28"/>
        </w:rPr>
      </w:pPr>
      <w:r w:rsidRPr="00457557">
        <w:rPr>
          <w:rFonts w:ascii="Cambria" w:hAnsi="Cambria"/>
          <w:sz w:val="28"/>
          <w:szCs w:val="28"/>
        </w:rPr>
        <w:t>Process:</w:t>
      </w:r>
    </w:p>
    <w:p w14:paraId="62D896D8" w14:textId="77777777" w:rsidR="001C13D3" w:rsidRPr="00457557" w:rsidRDefault="001C13D3" w:rsidP="001C13D3">
      <w:pPr>
        <w:pStyle w:val="ListParagraph"/>
        <w:numPr>
          <w:ilvl w:val="0"/>
          <w:numId w:val="46"/>
        </w:numPr>
        <w:rPr>
          <w:rFonts w:ascii="Cambria" w:hAnsi="Cambria"/>
          <w:sz w:val="24"/>
          <w:szCs w:val="24"/>
        </w:rPr>
      </w:pPr>
      <w:r w:rsidRPr="00457557">
        <w:rPr>
          <w:rFonts w:ascii="Cambria" w:hAnsi="Cambria"/>
          <w:sz w:val="24"/>
          <w:szCs w:val="24"/>
          <w:u w:val="single"/>
        </w:rPr>
        <w:t>ARREST:</w:t>
      </w:r>
      <w:r w:rsidRPr="00457557">
        <w:rPr>
          <w:rFonts w:ascii="Cambria" w:hAnsi="Cambria"/>
          <w:sz w:val="24"/>
          <w:szCs w:val="24"/>
        </w:rPr>
        <w:t xml:space="preserve"> Arrest </w:t>
      </w:r>
      <w:proofErr w:type="gramStart"/>
      <w:r w:rsidRPr="00457557">
        <w:rPr>
          <w:rFonts w:ascii="Cambria" w:hAnsi="Cambria"/>
          <w:sz w:val="24"/>
          <w:szCs w:val="24"/>
        </w:rPr>
        <w:t>made</w:t>
      </w:r>
      <w:proofErr w:type="gramEnd"/>
      <w:r w:rsidRPr="00457557">
        <w:rPr>
          <w:rFonts w:ascii="Cambria" w:hAnsi="Cambria"/>
          <w:sz w:val="24"/>
          <w:szCs w:val="24"/>
        </w:rPr>
        <w:t xml:space="preserve"> and Law Enforcement Officer determines that defendant needs to be held in Yellowstone County Detention Facility [YCDF].</w:t>
      </w:r>
    </w:p>
    <w:p w14:paraId="2A1FC48C" w14:textId="77777777" w:rsidR="001C13D3" w:rsidRPr="00457557" w:rsidRDefault="001C13D3" w:rsidP="001C13D3">
      <w:pPr>
        <w:pStyle w:val="ListParagraph"/>
        <w:rPr>
          <w:rFonts w:ascii="Cambria" w:hAnsi="Cambria"/>
          <w:sz w:val="24"/>
          <w:szCs w:val="24"/>
        </w:rPr>
      </w:pPr>
    </w:p>
    <w:p w14:paraId="1FC3EDCD" w14:textId="77777777" w:rsidR="001C13D3" w:rsidRPr="00457557" w:rsidRDefault="001C13D3" w:rsidP="001C13D3">
      <w:pPr>
        <w:pStyle w:val="ListParagraph"/>
        <w:numPr>
          <w:ilvl w:val="0"/>
          <w:numId w:val="46"/>
        </w:numPr>
        <w:rPr>
          <w:rFonts w:ascii="Cambria" w:hAnsi="Cambria"/>
          <w:sz w:val="24"/>
          <w:szCs w:val="24"/>
        </w:rPr>
      </w:pPr>
      <w:r w:rsidRPr="00457557">
        <w:rPr>
          <w:rFonts w:ascii="Cambria" w:hAnsi="Cambria"/>
          <w:sz w:val="24"/>
          <w:szCs w:val="24"/>
          <w:u w:val="single"/>
        </w:rPr>
        <w:t>BOOKING</w:t>
      </w:r>
      <w:r w:rsidRPr="00457557">
        <w:rPr>
          <w:rFonts w:ascii="Cambria" w:hAnsi="Cambria"/>
          <w:sz w:val="24"/>
          <w:szCs w:val="24"/>
        </w:rPr>
        <w:t>: Detention staff processes defendant and ensures that defendant is appropriate for detention.</w:t>
      </w:r>
    </w:p>
    <w:p w14:paraId="3A869B21" w14:textId="77777777" w:rsidR="001C13D3" w:rsidRPr="00457557" w:rsidRDefault="001C13D3" w:rsidP="001C13D3">
      <w:pPr>
        <w:pStyle w:val="ListParagraph"/>
        <w:rPr>
          <w:rFonts w:ascii="Cambria" w:hAnsi="Cambria"/>
          <w:sz w:val="24"/>
          <w:szCs w:val="24"/>
        </w:rPr>
      </w:pPr>
    </w:p>
    <w:p w14:paraId="58FA09AB" w14:textId="77777777" w:rsidR="001C13D3" w:rsidRPr="00457557" w:rsidRDefault="001C13D3" w:rsidP="001C13D3">
      <w:pPr>
        <w:pStyle w:val="ListParagraph"/>
        <w:numPr>
          <w:ilvl w:val="0"/>
          <w:numId w:val="46"/>
        </w:numPr>
        <w:rPr>
          <w:rFonts w:ascii="Cambria" w:hAnsi="Cambria"/>
          <w:sz w:val="24"/>
          <w:szCs w:val="24"/>
        </w:rPr>
      </w:pPr>
      <w:r w:rsidRPr="00457557">
        <w:rPr>
          <w:rFonts w:ascii="Cambria" w:hAnsi="Cambria"/>
          <w:sz w:val="24"/>
          <w:szCs w:val="24"/>
          <w:u w:val="single"/>
        </w:rPr>
        <w:t>BOOKING SHEET TO HELENA</w:t>
      </w:r>
      <w:r w:rsidRPr="00457557">
        <w:rPr>
          <w:rFonts w:ascii="Cambria" w:hAnsi="Cambria"/>
          <w:sz w:val="24"/>
          <w:szCs w:val="24"/>
        </w:rPr>
        <w:t xml:space="preserve">: Within two hours of defendant’s detention, Detention staff scans and emails the booking sheet containing the defendant’s name, current law violation, date of birth, and social security number to the OCA’s Processor. The email address that the document will be sent to is: </w:t>
      </w:r>
      <w:hyperlink r:id="rId15" w:history="1">
        <w:r w:rsidRPr="00457557">
          <w:rPr>
            <w:rStyle w:val="Hyperlink"/>
            <w:rFonts w:ascii="Cambria" w:hAnsi="Cambria"/>
            <w:sz w:val="24"/>
            <w:szCs w:val="24"/>
          </w:rPr>
          <w:t>judpretrial@mt.gov</w:t>
        </w:r>
      </w:hyperlink>
    </w:p>
    <w:p w14:paraId="0B51C64E" w14:textId="77777777" w:rsidR="001C13D3" w:rsidRPr="00457557" w:rsidRDefault="001C13D3" w:rsidP="001C13D3">
      <w:pPr>
        <w:pStyle w:val="ListParagraph"/>
        <w:rPr>
          <w:rFonts w:ascii="Cambria" w:hAnsi="Cambria"/>
          <w:sz w:val="24"/>
          <w:szCs w:val="24"/>
        </w:rPr>
      </w:pPr>
    </w:p>
    <w:p w14:paraId="5B31685D" w14:textId="77777777" w:rsidR="001C13D3" w:rsidRPr="00457557" w:rsidRDefault="001C13D3" w:rsidP="001C13D3">
      <w:pPr>
        <w:pStyle w:val="ListParagraph"/>
        <w:numPr>
          <w:ilvl w:val="0"/>
          <w:numId w:val="46"/>
        </w:numPr>
        <w:rPr>
          <w:rFonts w:ascii="Cambria" w:hAnsi="Cambria"/>
          <w:sz w:val="24"/>
          <w:szCs w:val="24"/>
        </w:rPr>
      </w:pPr>
      <w:r w:rsidRPr="00457557">
        <w:rPr>
          <w:rFonts w:ascii="Cambria" w:hAnsi="Cambria"/>
          <w:sz w:val="24"/>
          <w:szCs w:val="24"/>
          <w:u w:val="single"/>
        </w:rPr>
        <w:t>PSA 1</w:t>
      </w:r>
      <w:r w:rsidRPr="00457557">
        <w:rPr>
          <w:rFonts w:ascii="Cambria" w:hAnsi="Cambria"/>
          <w:sz w:val="24"/>
          <w:szCs w:val="24"/>
          <w:u w:val="single"/>
          <w:vertAlign w:val="superscript"/>
        </w:rPr>
        <w:t>st</w:t>
      </w:r>
      <w:r w:rsidRPr="00457557">
        <w:rPr>
          <w:rFonts w:ascii="Cambria" w:hAnsi="Cambria"/>
          <w:sz w:val="24"/>
          <w:szCs w:val="24"/>
          <w:u w:val="single"/>
        </w:rPr>
        <w:t xml:space="preserve"> STEP</w:t>
      </w:r>
      <w:r w:rsidRPr="00457557">
        <w:rPr>
          <w:rFonts w:ascii="Cambria" w:hAnsi="Cambria"/>
          <w:sz w:val="24"/>
          <w:szCs w:val="24"/>
        </w:rPr>
        <w:t>: OCA Processor receives information from the YCDF and gathers information from the Full Court Repository</w:t>
      </w:r>
      <w:r>
        <w:rPr>
          <w:rFonts w:ascii="Cambria" w:hAnsi="Cambria"/>
          <w:sz w:val="24"/>
          <w:szCs w:val="24"/>
        </w:rPr>
        <w:t>,</w:t>
      </w:r>
      <w:r w:rsidRPr="00457557">
        <w:rPr>
          <w:rFonts w:ascii="Cambria" w:hAnsi="Cambria"/>
          <w:sz w:val="24"/>
          <w:szCs w:val="24"/>
        </w:rPr>
        <w:t xml:space="preserve"> CJIN, and CJIS information systems to complete the Public Safety Assessment (PSA).</w:t>
      </w:r>
    </w:p>
    <w:p w14:paraId="117DA34F" w14:textId="77777777" w:rsidR="001C13D3" w:rsidRPr="00457557" w:rsidRDefault="001C13D3" w:rsidP="001C13D3">
      <w:pPr>
        <w:pStyle w:val="ListParagraph"/>
        <w:rPr>
          <w:rFonts w:ascii="Cambria" w:hAnsi="Cambria"/>
          <w:sz w:val="24"/>
          <w:szCs w:val="24"/>
        </w:rPr>
      </w:pPr>
    </w:p>
    <w:p w14:paraId="1BEEDA47" w14:textId="77777777" w:rsidR="001C13D3" w:rsidRPr="00457557" w:rsidRDefault="001C13D3" w:rsidP="001C13D3">
      <w:pPr>
        <w:pStyle w:val="ListParagraph"/>
        <w:numPr>
          <w:ilvl w:val="0"/>
          <w:numId w:val="46"/>
        </w:numPr>
        <w:rPr>
          <w:rFonts w:ascii="Cambria" w:hAnsi="Cambria"/>
          <w:sz w:val="24"/>
          <w:szCs w:val="24"/>
        </w:rPr>
      </w:pPr>
      <w:r w:rsidRPr="00457557">
        <w:rPr>
          <w:rFonts w:ascii="Cambria" w:hAnsi="Cambria"/>
          <w:sz w:val="24"/>
          <w:szCs w:val="24"/>
          <w:u w:val="single"/>
        </w:rPr>
        <w:t>PSA 2</w:t>
      </w:r>
      <w:r w:rsidRPr="00457557">
        <w:rPr>
          <w:rFonts w:ascii="Cambria" w:hAnsi="Cambria"/>
          <w:sz w:val="24"/>
          <w:szCs w:val="24"/>
          <w:u w:val="single"/>
          <w:vertAlign w:val="superscript"/>
        </w:rPr>
        <w:t>nd</w:t>
      </w:r>
      <w:r w:rsidRPr="00457557">
        <w:rPr>
          <w:rFonts w:ascii="Cambria" w:hAnsi="Cambria"/>
          <w:sz w:val="24"/>
          <w:szCs w:val="24"/>
          <w:u w:val="single"/>
        </w:rPr>
        <w:t xml:space="preserve"> STEP</w:t>
      </w:r>
      <w:r w:rsidRPr="00457557">
        <w:rPr>
          <w:rFonts w:ascii="Cambria" w:hAnsi="Cambria"/>
          <w:sz w:val="24"/>
          <w:szCs w:val="24"/>
        </w:rPr>
        <w:t xml:space="preserve">: OCA Processor completes the PSA and the results will be entered into </w:t>
      </w:r>
      <w:r>
        <w:rPr>
          <w:rFonts w:ascii="Cambria" w:hAnsi="Cambria"/>
          <w:sz w:val="24"/>
          <w:szCs w:val="24"/>
        </w:rPr>
        <w:t xml:space="preserve">the </w:t>
      </w:r>
      <w:r w:rsidRPr="00457557">
        <w:rPr>
          <w:rFonts w:ascii="Cambria" w:hAnsi="Cambria"/>
          <w:sz w:val="24"/>
          <w:szCs w:val="24"/>
        </w:rPr>
        <w:t>AutoMon system at least two hours prior to initial appearances in Billings Municipal Court, Laurel City Court, and Yellowstone County Justice Court (and appearances in Yellowstone County District Court, when appropriate).</w:t>
      </w:r>
    </w:p>
    <w:p w14:paraId="3538A1B2" w14:textId="77777777" w:rsidR="001C13D3" w:rsidRPr="00457557" w:rsidRDefault="001C13D3" w:rsidP="001C13D3">
      <w:pPr>
        <w:pStyle w:val="ListParagraph"/>
        <w:rPr>
          <w:rFonts w:ascii="Cambria" w:hAnsi="Cambria"/>
          <w:sz w:val="24"/>
          <w:szCs w:val="24"/>
        </w:rPr>
      </w:pPr>
    </w:p>
    <w:p w14:paraId="58A00394" w14:textId="77777777" w:rsidR="001C13D3" w:rsidRPr="00457557" w:rsidRDefault="001C13D3" w:rsidP="001C13D3">
      <w:pPr>
        <w:pStyle w:val="ListParagraph"/>
        <w:numPr>
          <w:ilvl w:val="0"/>
          <w:numId w:val="46"/>
        </w:numPr>
        <w:rPr>
          <w:rFonts w:ascii="Cambria" w:hAnsi="Cambria"/>
          <w:sz w:val="24"/>
          <w:szCs w:val="24"/>
        </w:rPr>
      </w:pPr>
      <w:r w:rsidRPr="00457557">
        <w:rPr>
          <w:rFonts w:ascii="Cambria" w:hAnsi="Cambria"/>
          <w:sz w:val="24"/>
          <w:szCs w:val="24"/>
          <w:u w:val="single"/>
        </w:rPr>
        <w:t>PSA 3</w:t>
      </w:r>
      <w:r w:rsidRPr="00457557">
        <w:rPr>
          <w:rFonts w:ascii="Cambria" w:hAnsi="Cambria"/>
          <w:sz w:val="24"/>
          <w:szCs w:val="24"/>
          <w:u w:val="single"/>
          <w:vertAlign w:val="superscript"/>
        </w:rPr>
        <w:t>rd</w:t>
      </w:r>
      <w:r w:rsidRPr="00457557">
        <w:rPr>
          <w:rFonts w:ascii="Cambria" w:hAnsi="Cambria"/>
          <w:sz w:val="24"/>
          <w:szCs w:val="24"/>
          <w:u w:val="single"/>
        </w:rPr>
        <w:t xml:space="preserve"> STEP</w:t>
      </w:r>
      <w:r w:rsidRPr="00457557">
        <w:rPr>
          <w:rFonts w:ascii="Cambria" w:hAnsi="Cambria"/>
          <w:sz w:val="24"/>
          <w:szCs w:val="24"/>
        </w:rPr>
        <w:t xml:space="preserve">: The Judicial Officer </w:t>
      </w:r>
      <w:r w:rsidRPr="00457557">
        <w:rPr>
          <w:rFonts w:ascii="Cambria" w:hAnsi="Cambria"/>
          <w:i/>
          <w:sz w:val="24"/>
          <w:szCs w:val="24"/>
        </w:rPr>
        <w:t>(judge or judge’s staff)</w:t>
      </w:r>
      <w:r w:rsidRPr="00457557">
        <w:rPr>
          <w:rFonts w:ascii="Cambria" w:hAnsi="Cambria"/>
          <w:sz w:val="24"/>
          <w:szCs w:val="24"/>
        </w:rPr>
        <w:t xml:space="preserve"> retrieves the PSA file from AutoMon to review and/or print the results prior to the initial appearance. Approved staff in the County Attorney’s Office</w:t>
      </w:r>
      <w:r>
        <w:rPr>
          <w:rFonts w:ascii="Cambria" w:hAnsi="Cambria"/>
          <w:sz w:val="24"/>
          <w:szCs w:val="24"/>
        </w:rPr>
        <w:t xml:space="preserve"> and </w:t>
      </w:r>
      <w:r w:rsidRPr="00457557">
        <w:rPr>
          <w:rFonts w:ascii="Cambria" w:hAnsi="Cambria"/>
          <w:sz w:val="24"/>
          <w:szCs w:val="24"/>
        </w:rPr>
        <w:t xml:space="preserve">the Office of the Public Defender </w:t>
      </w:r>
      <w:r>
        <w:rPr>
          <w:rFonts w:ascii="Cambria" w:hAnsi="Cambria"/>
          <w:sz w:val="24"/>
          <w:szCs w:val="24"/>
        </w:rPr>
        <w:t>(</w:t>
      </w:r>
      <w:r w:rsidRPr="00457557">
        <w:rPr>
          <w:rFonts w:ascii="Cambria" w:hAnsi="Cambria"/>
          <w:sz w:val="24"/>
          <w:szCs w:val="24"/>
        </w:rPr>
        <w:t>or the defendant’s private attorney</w:t>
      </w:r>
      <w:r>
        <w:rPr>
          <w:rFonts w:ascii="Cambria" w:hAnsi="Cambria"/>
          <w:sz w:val="24"/>
          <w:szCs w:val="24"/>
        </w:rPr>
        <w:t>)</w:t>
      </w:r>
      <w:r w:rsidRPr="00457557">
        <w:rPr>
          <w:rFonts w:ascii="Cambria" w:hAnsi="Cambria"/>
          <w:sz w:val="24"/>
          <w:szCs w:val="24"/>
        </w:rPr>
        <w:t xml:space="preserve"> also ha</w:t>
      </w:r>
      <w:r>
        <w:rPr>
          <w:rFonts w:ascii="Cambria" w:hAnsi="Cambria"/>
          <w:sz w:val="24"/>
          <w:szCs w:val="24"/>
        </w:rPr>
        <w:t>ve</w:t>
      </w:r>
      <w:r w:rsidRPr="00457557">
        <w:rPr>
          <w:rFonts w:ascii="Cambria" w:hAnsi="Cambria"/>
          <w:sz w:val="24"/>
          <w:szCs w:val="24"/>
        </w:rPr>
        <w:t xml:space="preserve"> access to and can retrieve the PSA file from AutoMon to review assessment results prior to the initial appearance.</w:t>
      </w:r>
    </w:p>
    <w:p w14:paraId="1E92F40D" w14:textId="65AB5F9C" w:rsidR="001C13D3" w:rsidRPr="00457557" w:rsidRDefault="001C13D3" w:rsidP="001C13D3">
      <w:pPr>
        <w:rPr>
          <w:rFonts w:ascii="Cambria" w:hAnsi="Cambria"/>
          <w:sz w:val="24"/>
          <w:szCs w:val="24"/>
        </w:rPr>
      </w:pPr>
    </w:p>
    <w:p w14:paraId="06A96554" w14:textId="77777777" w:rsidR="001C13D3" w:rsidRPr="00457557" w:rsidRDefault="001C13D3" w:rsidP="001C13D3">
      <w:pPr>
        <w:pStyle w:val="ListParagraph"/>
        <w:numPr>
          <w:ilvl w:val="0"/>
          <w:numId w:val="46"/>
        </w:numPr>
        <w:rPr>
          <w:rFonts w:ascii="Cambria" w:hAnsi="Cambria"/>
          <w:sz w:val="24"/>
          <w:szCs w:val="24"/>
        </w:rPr>
      </w:pPr>
      <w:r w:rsidRPr="00457557">
        <w:rPr>
          <w:rFonts w:ascii="Cambria" w:hAnsi="Cambria"/>
          <w:sz w:val="24"/>
          <w:szCs w:val="24"/>
          <w:u w:val="single"/>
        </w:rPr>
        <w:t>JUDGE’S REVIEW</w:t>
      </w:r>
      <w:r w:rsidRPr="00457557">
        <w:rPr>
          <w:rFonts w:ascii="Cambria" w:hAnsi="Cambria"/>
          <w:sz w:val="24"/>
          <w:szCs w:val="24"/>
        </w:rPr>
        <w:t xml:space="preserve">: The Judicial Officer reviews: the scored PSA, the Matrix of Presumptive Pretrial Conditions, and the Presumptive </w:t>
      </w:r>
      <w:r w:rsidRPr="00457557">
        <w:rPr>
          <w:rFonts w:ascii="Cambria" w:hAnsi="Cambria"/>
          <w:sz w:val="24"/>
          <w:szCs w:val="24"/>
        </w:rPr>
        <w:lastRenderedPageBreak/>
        <w:t xml:space="preserve">Release Activities and Conditions, related to the individual defendant.  The Judicial Officer utilizes the aforementioned documents as part of his/her decision to detain or release the defendant.  </w:t>
      </w:r>
      <w:r w:rsidRPr="00457557">
        <w:rPr>
          <w:rFonts w:ascii="Cambria" w:hAnsi="Cambria" w:cstheme="minorHAnsi"/>
          <w:sz w:val="24"/>
          <w:szCs w:val="24"/>
        </w:rPr>
        <w:t xml:space="preserve">The Judicial Officer has the discretion to deviate from the Matrix’s presumptive release conditions. </w:t>
      </w:r>
      <w:r w:rsidRPr="00457557">
        <w:rPr>
          <w:rFonts w:ascii="Cambria" w:hAnsi="Cambria"/>
          <w:sz w:val="24"/>
          <w:szCs w:val="24"/>
        </w:rPr>
        <w:t xml:space="preserve"> If the Judicial Officer deviates from the Matrix, </w:t>
      </w:r>
      <w:r>
        <w:rPr>
          <w:rFonts w:ascii="Cambria" w:hAnsi="Cambria"/>
          <w:sz w:val="24"/>
          <w:szCs w:val="24"/>
        </w:rPr>
        <w:br/>
      </w:r>
      <w:r w:rsidRPr="00457557">
        <w:rPr>
          <w:rFonts w:ascii="Cambria" w:hAnsi="Cambria"/>
          <w:sz w:val="24"/>
          <w:szCs w:val="24"/>
        </w:rPr>
        <w:t>s/he documents the reason for that decision.</w:t>
      </w:r>
    </w:p>
    <w:p w14:paraId="2BA0E963" w14:textId="77777777" w:rsidR="001C13D3" w:rsidRPr="00457557" w:rsidRDefault="001C13D3" w:rsidP="001C13D3">
      <w:pPr>
        <w:pStyle w:val="ListParagraph"/>
        <w:rPr>
          <w:rFonts w:ascii="Cambria" w:hAnsi="Cambria"/>
          <w:sz w:val="24"/>
          <w:szCs w:val="24"/>
        </w:rPr>
      </w:pPr>
    </w:p>
    <w:p w14:paraId="57263256" w14:textId="77777777" w:rsidR="001C13D3" w:rsidRPr="003C4FF3" w:rsidRDefault="001C13D3" w:rsidP="001C13D3">
      <w:pPr>
        <w:pStyle w:val="ListParagraph"/>
        <w:numPr>
          <w:ilvl w:val="0"/>
          <w:numId w:val="46"/>
        </w:numPr>
        <w:rPr>
          <w:rFonts w:ascii="Cambria" w:hAnsi="Cambria"/>
          <w:sz w:val="24"/>
          <w:szCs w:val="24"/>
        </w:rPr>
      </w:pPr>
      <w:r w:rsidRPr="003C4FF3">
        <w:rPr>
          <w:rFonts w:ascii="Cambria" w:hAnsi="Cambria"/>
          <w:sz w:val="24"/>
          <w:szCs w:val="24"/>
          <w:u w:val="single"/>
        </w:rPr>
        <w:t>INFO ENTERED INTO AUTOMON</w:t>
      </w:r>
      <w:r w:rsidRPr="003C4FF3">
        <w:rPr>
          <w:rFonts w:ascii="Cambria" w:hAnsi="Cambria"/>
          <w:sz w:val="24"/>
          <w:szCs w:val="24"/>
        </w:rPr>
        <w:t>: Pretrial staff (either City or County, as appropriate) [or outside contractor] enter the results of hearings into AutoMon, including the conditions and requirements of the release decision(s) as well as any Failures to Appear.  Entries must include designation of the next scheduled court appearance(s) and court reminder(s) must be set for notification via AutoMon.</w:t>
      </w:r>
    </w:p>
    <w:p w14:paraId="6F65EFFF" w14:textId="77777777" w:rsidR="001C13D3" w:rsidRPr="003C4FF3" w:rsidRDefault="001C13D3" w:rsidP="001C13D3">
      <w:pPr>
        <w:pStyle w:val="ListParagraph"/>
        <w:rPr>
          <w:rFonts w:ascii="Cambria" w:hAnsi="Cambria"/>
          <w:sz w:val="24"/>
          <w:szCs w:val="24"/>
        </w:rPr>
      </w:pPr>
    </w:p>
    <w:p w14:paraId="34B4F2E9" w14:textId="77777777" w:rsidR="001C13D3" w:rsidRPr="00457557" w:rsidRDefault="001C13D3" w:rsidP="001C13D3">
      <w:pPr>
        <w:pStyle w:val="ListParagraph"/>
        <w:numPr>
          <w:ilvl w:val="0"/>
          <w:numId w:val="46"/>
        </w:numPr>
        <w:rPr>
          <w:rFonts w:ascii="Cambria" w:hAnsi="Cambria"/>
          <w:sz w:val="24"/>
          <w:szCs w:val="24"/>
        </w:rPr>
      </w:pPr>
      <w:r w:rsidRPr="003C4FF3">
        <w:rPr>
          <w:rFonts w:ascii="Cambria" w:hAnsi="Cambria"/>
          <w:sz w:val="24"/>
          <w:szCs w:val="24"/>
          <w:u w:val="single"/>
        </w:rPr>
        <w:t>PRETRIAL SUPERVISION</w:t>
      </w:r>
      <w:r w:rsidRPr="003C4FF3">
        <w:rPr>
          <w:rFonts w:ascii="Cambria" w:hAnsi="Cambria"/>
          <w:sz w:val="24"/>
          <w:szCs w:val="24"/>
        </w:rPr>
        <w:t>: Pretrial staff [or outside contractor] records and maintains activities related to the conditions of pretrial release into the AutoMon system. If the defendant is released, the Pretrial Case Manager will develop an appropriate case management plan and enter</w:t>
      </w:r>
      <w:r w:rsidRPr="00457557">
        <w:rPr>
          <w:rFonts w:ascii="Cambria" w:hAnsi="Cambria"/>
          <w:sz w:val="24"/>
          <w:szCs w:val="24"/>
        </w:rPr>
        <w:t xml:space="preserve"> the plan into AutoMon.</w:t>
      </w:r>
    </w:p>
    <w:p w14:paraId="1CD7B66E" w14:textId="77777777" w:rsidR="001C13D3" w:rsidRPr="00457557" w:rsidRDefault="001C13D3" w:rsidP="001C13D3">
      <w:pPr>
        <w:pStyle w:val="ListParagraph"/>
        <w:rPr>
          <w:rFonts w:ascii="Cambria" w:hAnsi="Cambria"/>
          <w:sz w:val="24"/>
          <w:szCs w:val="24"/>
        </w:rPr>
      </w:pPr>
    </w:p>
    <w:p w14:paraId="1A7E4F03" w14:textId="77777777" w:rsidR="001C13D3" w:rsidRPr="00457557" w:rsidRDefault="001C13D3" w:rsidP="001C13D3">
      <w:pPr>
        <w:pStyle w:val="ListParagraph"/>
        <w:numPr>
          <w:ilvl w:val="0"/>
          <w:numId w:val="46"/>
        </w:numPr>
        <w:rPr>
          <w:rFonts w:ascii="Cambria" w:hAnsi="Cambria"/>
          <w:sz w:val="24"/>
          <w:szCs w:val="24"/>
        </w:rPr>
      </w:pPr>
      <w:r w:rsidRPr="00457557">
        <w:rPr>
          <w:rFonts w:ascii="Cambria" w:hAnsi="Cambria"/>
          <w:sz w:val="24"/>
          <w:szCs w:val="24"/>
          <w:u w:val="single"/>
        </w:rPr>
        <w:t>OCA VALIDATION</w:t>
      </w:r>
      <w:r w:rsidRPr="00457557">
        <w:rPr>
          <w:rFonts w:ascii="Cambria" w:hAnsi="Cambria"/>
          <w:sz w:val="24"/>
          <w:szCs w:val="24"/>
        </w:rPr>
        <w:t xml:space="preserve">: The OCA Processor validates the AutoMon entry to ensure the defendant is entered </w:t>
      </w:r>
      <w:r>
        <w:rPr>
          <w:rFonts w:ascii="Cambria" w:hAnsi="Cambria"/>
          <w:sz w:val="24"/>
          <w:szCs w:val="24"/>
        </w:rPr>
        <w:t xml:space="preserve">appropriately </w:t>
      </w:r>
      <w:r w:rsidRPr="00457557">
        <w:rPr>
          <w:rFonts w:ascii="Cambria" w:hAnsi="Cambria"/>
          <w:sz w:val="24"/>
          <w:szCs w:val="24"/>
        </w:rPr>
        <w:t xml:space="preserve">into the system. The OCA Processor will run a CJIN check every 30 days for offenders under pretrial supervision </w:t>
      </w:r>
      <w:r>
        <w:rPr>
          <w:rFonts w:ascii="Cambria" w:hAnsi="Cambria"/>
          <w:sz w:val="24"/>
          <w:szCs w:val="24"/>
        </w:rPr>
        <w:t xml:space="preserve">[i.e., </w:t>
      </w:r>
      <w:r w:rsidRPr="00BD2A74">
        <w:rPr>
          <w:rFonts w:ascii="Cambria" w:hAnsi="Cambria"/>
          <w:i/>
          <w:sz w:val="24"/>
          <w:szCs w:val="24"/>
        </w:rPr>
        <w:t>Passive</w:t>
      </w:r>
      <w:r>
        <w:rPr>
          <w:rFonts w:ascii="Cambria" w:hAnsi="Cambria"/>
          <w:sz w:val="24"/>
          <w:szCs w:val="24"/>
        </w:rPr>
        <w:t xml:space="preserve"> or </w:t>
      </w:r>
      <w:r w:rsidRPr="00BD2A74">
        <w:rPr>
          <w:rFonts w:ascii="Cambria" w:hAnsi="Cambria"/>
          <w:i/>
          <w:sz w:val="24"/>
          <w:szCs w:val="24"/>
        </w:rPr>
        <w:t>Active</w:t>
      </w:r>
      <w:r>
        <w:rPr>
          <w:rFonts w:ascii="Cambria" w:hAnsi="Cambria"/>
          <w:sz w:val="24"/>
          <w:szCs w:val="24"/>
        </w:rPr>
        <w:t xml:space="preserve">] </w:t>
      </w:r>
      <w:r w:rsidRPr="00457557">
        <w:rPr>
          <w:rFonts w:ascii="Cambria" w:hAnsi="Cambria"/>
          <w:sz w:val="24"/>
          <w:szCs w:val="24"/>
        </w:rPr>
        <w:t xml:space="preserve">and will notify the Pretrial Case Manager if new charges are noted. </w:t>
      </w:r>
    </w:p>
    <w:p w14:paraId="7AA9F0A4" w14:textId="77777777" w:rsidR="001C13D3" w:rsidRPr="00457557" w:rsidRDefault="001C13D3" w:rsidP="001C13D3">
      <w:pPr>
        <w:pStyle w:val="ListParagraph"/>
        <w:rPr>
          <w:rFonts w:ascii="Cambria" w:hAnsi="Cambria"/>
          <w:sz w:val="24"/>
          <w:szCs w:val="24"/>
        </w:rPr>
      </w:pPr>
    </w:p>
    <w:p w14:paraId="6481B983" w14:textId="77777777" w:rsidR="001C13D3" w:rsidRPr="00457557" w:rsidRDefault="001C13D3" w:rsidP="001C13D3">
      <w:pPr>
        <w:pStyle w:val="ListParagraph"/>
        <w:numPr>
          <w:ilvl w:val="0"/>
          <w:numId w:val="46"/>
        </w:numPr>
        <w:rPr>
          <w:rFonts w:ascii="Cambria" w:hAnsi="Cambria"/>
          <w:sz w:val="24"/>
          <w:szCs w:val="24"/>
        </w:rPr>
      </w:pPr>
      <w:r w:rsidRPr="00457557">
        <w:rPr>
          <w:rFonts w:ascii="Cambria" w:hAnsi="Cambria"/>
          <w:sz w:val="24"/>
          <w:szCs w:val="24"/>
          <w:u w:val="single"/>
        </w:rPr>
        <w:t>PRETRIAL VIOLATIONS</w:t>
      </w:r>
      <w:r w:rsidRPr="00457557">
        <w:rPr>
          <w:rFonts w:ascii="Cambria" w:hAnsi="Cambria"/>
          <w:sz w:val="24"/>
          <w:szCs w:val="24"/>
        </w:rPr>
        <w:t xml:space="preserve">:  If a defendant violates the terms of </w:t>
      </w:r>
      <w:r>
        <w:rPr>
          <w:rFonts w:ascii="Cambria" w:hAnsi="Cambria"/>
          <w:sz w:val="24"/>
          <w:szCs w:val="24"/>
        </w:rPr>
        <w:t>his/her</w:t>
      </w:r>
      <w:r w:rsidRPr="00457557">
        <w:rPr>
          <w:rFonts w:ascii="Cambria" w:hAnsi="Cambria"/>
          <w:sz w:val="24"/>
          <w:szCs w:val="24"/>
        </w:rPr>
        <w:t xml:space="preserve"> pretrial supervision, the Pretrial Case Manager will document th</w:t>
      </w:r>
      <w:r>
        <w:rPr>
          <w:rFonts w:ascii="Cambria" w:hAnsi="Cambria"/>
          <w:sz w:val="24"/>
          <w:szCs w:val="24"/>
        </w:rPr>
        <w:t>e</w:t>
      </w:r>
      <w:r w:rsidRPr="00457557">
        <w:rPr>
          <w:rFonts w:ascii="Cambria" w:hAnsi="Cambria"/>
          <w:sz w:val="24"/>
          <w:szCs w:val="24"/>
        </w:rPr>
        <w:t xml:space="preserve"> violation</w:t>
      </w:r>
      <w:r>
        <w:rPr>
          <w:rFonts w:ascii="Cambria" w:hAnsi="Cambria"/>
          <w:sz w:val="24"/>
          <w:szCs w:val="24"/>
        </w:rPr>
        <w:t>(</w:t>
      </w:r>
      <w:r w:rsidRPr="00457557">
        <w:rPr>
          <w:rFonts w:ascii="Cambria" w:hAnsi="Cambria"/>
          <w:sz w:val="24"/>
          <w:szCs w:val="24"/>
        </w:rPr>
        <w:t>s</w:t>
      </w:r>
      <w:r>
        <w:rPr>
          <w:rFonts w:ascii="Cambria" w:hAnsi="Cambria"/>
          <w:sz w:val="24"/>
          <w:szCs w:val="24"/>
        </w:rPr>
        <w:t>)</w:t>
      </w:r>
      <w:r w:rsidRPr="00457557">
        <w:rPr>
          <w:rFonts w:ascii="Cambria" w:hAnsi="Cambria"/>
          <w:sz w:val="24"/>
          <w:szCs w:val="24"/>
        </w:rPr>
        <w:t xml:space="preserve"> in AutoMon and assess the level of notification to the Court system as appropriate. </w:t>
      </w:r>
      <w:r w:rsidRPr="00457557">
        <w:rPr>
          <w:rFonts w:ascii="Cambria" w:hAnsi="Cambria"/>
          <w:i/>
          <w:sz w:val="24"/>
          <w:szCs w:val="24"/>
        </w:rPr>
        <w:t>[See Following Page]</w:t>
      </w:r>
    </w:p>
    <w:p w14:paraId="5FB6D332" w14:textId="77777777" w:rsidR="001C13D3" w:rsidRPr="00457557" w:rsidRDefault="001C13D3" w:rsidP="001C13D3">
      <w:pPr>
        <w:pStyle w:val="ListParagraph"/>
        <w:rPr>
          <w:rFonts w:ascii="Cambria" w:hAnsi="Cambria"/>
          <w:sz w:val="24"/>
          <w:szCs w:val="24"/>
        </w:rPr>
      </w:pPr>
    </w:p>
    <w:p w14:paraId="03D101A1" w14:textId="77777777" w:rsidR="001C13D3" w:rsidRPr="00457557" w:rsidRDefault="001C13D3" w:rsidP="001C13D3">
      <w:pPr>
        <w:pStyle w:val="ListParagraph"/>
        <w:numPr>
          <w:ilvl w:val="0"/>
          <w:numId w:val="46"/>
        </w:numPr>
        <w:rPr>
          <w:rFonts w:ascii="Cambria" w:hAnsi="Cambria"/>
          <w:sz w:val="24"/>
          <w:szCs w:val="24"/>
        </w:rPr>
      </w:pPr>
      <w:r w:rsidRPr="00457557">
        <w:rPr>
          <w:rFonts w:ascii="Cambria" w:hAnsi="Cambria"/>
          <w:sz w:val="24"/>
          <w:szCs w:val="24"/>
          <w:u w:val="single"/>
        </w:rPr>
        <w:t>OCA REPORTING</w:t>
      </w:r>
      <w:r w:rsidRPr="00457557">
        <w:rPr>
          <w:rFonts w:ascii="Cambria" w:hAnsi="Cambria"/>
          <w:sz w:val="24"/>
          <w:szCs w:val="24"/>
        </w:rPr>
        <w:t>: The OCA Processor will monitor defendants for new bookings and will enter those into AutoMon.</w:t>
      </w:r>
    </w:p>
    <w:p w14:paraId="04383683" w14:textId="77777777" w:rsidR="001C13D3" w:rsidRPr="00457557" w:rsidRDefault="001C13D3" w:rsidP="001C13D3">
      <w:pPr>
        <w:pStyle w:val="ListParagraph"/>
        <w:rPr>
          <w:rFonts w:ascii="Cambria" w:hAnsi="Cambria"/>
          <w:sz w:val="24"/>
          <w:szCs w:val="24"/>
        </w:rPr>
      </w:pPr>
    </w:p>
    <w:p w14:paraId="7B8FFBD4" w14:textId="77777777" w:rsidR="001C13D3" w:rsidRPr="00457557" w:rsidRDefault="001C13D3" w:rsidP="001C13D3">
      <w:pPr>
        <w:pStyle w:val="ListParagraph"/>
        <w:numPr>
          <w:ilvl w:val="0"/>
          <w:numId w:val="46"/>
        </w:numPr>
        <w:rPr>
          <w:rFonts w:ascii="Cambria" w:hAnsi="Cambria"/>
          <w:sz w:val="24"/>
          <w:szCs w:val="24"/>
        </w:rPr>
      </w:pPr>
      <w:r w:rsidRPr="00457557">
        <w:rPr>
          <w:rFonts w:ascii="Cambria" w:hAnsi="Cambria"/>
          <w:sz w:val="24"/>
          <w:szCs w:val="24"/>
          <w:u w:val="single"/>
        </w:rPr>
        <w:t>PRETRIAL SUPERVISION ENDS</w:t>
      </w:r>
      <w:r w:rsidRPr="00457557">
        <w:rPr>
          <w:rFonts w:ascii="Cambria" w:hAnsi="Cambria"/>
          <w:sz w:val="24"/>
          <w:szCs w:val="24"/>
        </w:rPr>
        <w:t xml:space="preserve">: </w:t>
      </w:r>
      <w:r>
        <w:rPr>
          <w:rFonts w:ascii="Cambria" w:hAnsi="Cambria"/>
          <w:sz w:val="24"/>
          <w:szCs w:val="24"/>
        </w:rPr>
        <w:t xml:space="preserve">At the point that </w:t>
      </w:r>
      <w:r w:rsidRPr="00457557">
        <w:rPr>
          <w:rFonts w:ascii="Cambria" w:hAnsi="Cambria"/>
          <w:sz w:val="24"/>
          <w:szCs w:val="24"/>
        </w:rPr>
        <w:t>the defendant</w:t>
      </w:r>
      <w:r>
        <w:rPr>
          <w:rFonts w:ascii="Cambria" w:hAnsi="Cambria"/>
          <w:sz w:val="24"/>
          <w:szCs w:val="24"/>
        </w:rPr>
        <w:t>’s case</w:t>
      </w:r>
      <w:r w:rsidRPr="00457557">
        <w:rPr>
          <w:rFonts w:ascii="Cambria" w:hAnsi="Cambria"/>
          <w:sz w:val="24"/>
          <w:szCs w:val="24"/>
        </w:rPr>
        <w:t xml:space="preserve"> is no longer </w:t>
      </w:r>
      <w:r>
        <w:rPr>
          <w:rFonts w:ascii="Cambria" w:hAnsi="Cambria"/>
          <w:sz w:val="24"/>
          <w:szCs w:val="24"/>
        </w:rPr>
        <w:t>i</w:t>
      </w:r>
      <w:r w:rsidRPr="00457557">
        <w:rPr>
          <w:rFonts w:ascii="Cambria" w:hAnsi="Cambria"/>
          <w:sz w:val="24"/>
          <w:szCs w:val="24"/>
        </w:rPr>
        <w:t>n pretrial status</w:t>
      </w:r>
      <w:r>
        <w:rPr>
          <w:rFonts w:ascii="Cambria" w:hAnsi="Cambria"/>
          <w:sz w:val="24"/>
          <w:szCs w:val="24"/>
        </w:rPr>
        <w:t>, the Pretrial Case Manager enters t</w:t>
      </w:r>
      <w:r w:rsidRPr="00457557">
        <w:rPr>
          <w:rFonts w:ascii="Cambria" w:hAnsi="Cambria"/>
          <w:sz w:val="24"/>
          <w:szCs w:val="24"/>
        </w:rPr>
        <w:t xml:space="preserve">he final disposition of the </w:t>
      </w:r>
      <w:r>
        <w:rPr>
          <w:rFonts w:ascii="Cambria" w:hAnsi="Cambria"/>
          <w:sz w:val="24"/>
          <w:szCs w:val="24"/>
        </w:rPr>
        <w:t>case</w:t>
      </w:r>
      <w:r w:rsidRPr="00457557">
        <w:rPr>
          <w:rFonts w:ascii="Cambria" w:hAnsi="Cambria"/>
          <w:sz w:val="24"/>
          <w:szCs w:val="24"/>
        </w:rPr>
        <w:t xml:space="preserve"> into AutoMon</w:t>
      </w:r>
      <w:r>
        <w:rPr>
          <w:rFonts w:ascii="Cambria" w:hAnsi="Cambria"/>
          <w:sz w:val="24"/>
          <w:szCs w:val="24"/>
        </w:rPr>
        <w:t>.</w:t>
      </w:r>
      <w:r w:rsidRPr="00457557">
        <w:rPr>
          <w:rFonts w:ascii="Cambria" w:hAnsi="Cambria"/>
          <w:sz w:val="24"/>
          <w:szCs w:val="24"/>
        </w:rPr>
        <w:t xml:space="preserve"> </w:t>
      </w:r>
    </w:p>
    <w:p w14:paraId="5DBCF5B7" w14:textId="77777777" w:rsidR="001C13D3" w:rsidRPr="00457557" w:rsidRDefault="001C13D3" w:rsidP="001C13D3">
      <w:pPr>
        <w:rPr>
          <w:rFonts w:ascii="Cambria" w:hAnsi="Cambria"/>
          <w:sz w:val="24"/>
          <w:szCs w:val="24"/>
        </w:rPr>
      </w:pPr>
    </w:p>
    <w:p w14:paraId="5AC8CA86" w14:textId="77777777" w:rsidR="001C13D3" w:rsidRPr="00457557" w:rsidRDefault="001C13D3" w:rsidP="001C13D3">
      <w:pPr>
        <w:rPr>
          <w:rFonts w:ascii="Cambria" w:hAnsi="Cambria" w:cstheme="minorHAnsi"/>
          <w:b/>
          <w:sz w:val="24"/>
          <w:szCs w:val="24"/>
        </w:rPr>
      </w:pPr>
      <w:r w:rsidRPr="00457557">
        <w:rPr>
          <w:rFonts w:ascii="Cambria" w:hAnsi="Cambria" w:cstheme="minorHAnsi"/>
          <w:b/>
          <w:sz w:val="24"/>
          <w:szCs w:val="24"/>
        </w:rPr>
        <w:t>Pretrial Supervision Violation Notification</w:t>
      </w:r>
    </w:p>
    <w:p w14:paraId="640E6EA3" w14:textId="77777777" w:rsidR="001C13D3" w:rsidRPr="00457557" w:rsidRDefault="001C13D3" w:rsidP="001C13D3">
      <w:pPr>
        <w:ind w:left="360"/>
        <w:rPr>
          <w:rFonts w:ascii="Cambria" w:hAnsi="Cambria" w:cstheme="minorHAnsi"/>
          <w:sz w:val="24"/>
          <w:szCs w:val="24"/>
          <w:u w:val="single"/>
        </w:rPr>
      </w:pPr>
      <w:r w:rsidRPr="00457557">
        <w:rPr>
          <w:rFonts w:ascii="Cambria" w:hAnsi="Cambria" w:cstheme="minorHAnsi"/>
          <w:sz w:val="24"/>
          <w:szCs w:val="24"/>
          <w:u w:val="single"/>
        </w:rPr>
        <w:lastRenderedPageBreak/>
        <w:t xml:space="preserve">Minor Violation: Pretrial Case Manager </w:t>
      </w:r>
      <w:r>
        <w:rPr>
          <w:rFonts w:ascii="Cambria" w:hAnsi="Cambria" w:cstheme="minorHAnsi"/>
          <w:sz w:val="24"/>
          <w:szCs w:val="24"/>
          <w:u w:val="single"/>
        </w:rPr>
        <w:t>R</w:t>
      </w:r>
      <w:r w:rsidRPr="00457557">
        <w:rPr>
          <w:rFonts w:ascii="Cambria" w:hAnsi="Cambria" w:cstheme="minorHAnsi"/>
          <w:sz w:val="24"/>
          <w:szCs w:val="24"/>
          <w:u w:val="single"/>
        </w:rPr>
        <w:t>eview</w:t>
      </w:r>
    </w:p>
    <w:p w14:paraId="18B75C01" w14:textId="77777777" w:rsidR="001C13D3" w:rsidRPr="00457557" w:rsidRDefault="001C13D3" w:rsidP="001C13D3">
      <w:pPr>
        <w:pStyle w:val="ListParagraph"/>
        <w:numPr>
          <w:ilvl w:val="0"/>
          <w:numId w:val="47"/>
        </w:numPr>
        <w:tabs>
          <w:tab w:val="left" w:pos="720"/>
        </w:tabs>
        <w:spacing w:after="80" w:line="240" w:lineRule="auto"/>
        <w:ind w:left="900"/>
        <w:contextualSpacing w:val="0"/>
        <w:rPr>
          <w:rFonts w:ascii="Cambria" w:hAnsi="Cambria" w:cstheme="minorHAnsi"/>
          <w:sz w:val="24"/>
          <w:szCs w:val="24"/>
        </w:rPr>
      </w:pPr>
      <w:r w:rsidRPr="00457557">
        <w:rPr>
          <w:rFonts w:ascii="Cambria" w:hAnsi="Cambria" w:cstheme="minorHAnsi"/>
          <w:sz w:val="24"/>
          <w:szCs w:val="24"/>
        </w:rPr>
        <w:t xml:space="preserve">Failure to </w:t>
      </w:r>
      <w:r>
        <w:rPr>
          <w:rFonts w:ascii="Cambria" w:hAnsi="Cambria" w:cstheme="minorHAnsi"/>
          <w:sz w:val="24"/>
          <w:szCs w:val="24"/>
        </w:rPr>
        <w:t>complete Check-In</w:t>
      </w:r>
      <w:r w:rsidRPr="00457557">
        <w:rPr>
          <w:rFonts w:ascii="Cambria" w:hAnsi="Cambria" w:cstheme="minorHAnsi"/>
          <w:sz w:val="24"/>
          <w:szCs w:val="24"/>
        </w:rPr>
        <w:t xml:space="preserve"> 1 time to Pretrial Case Manager (or monitoring provider, if applicable)</w:t>
      </w:r>
      <w:r>
        <w:rPr>
          <w:rFonts w:ascii="Cambria" w:hAnsi="Cambria" w:cstheme="minorHAnsi"/>
          <w:sz w:val="24"/>
          <w:szCs w:val="24"/>
        </w:rPr>
        <w:t xml:space="preserve"> </w:t>
      </w:r>
      <w:r>
        <w:rPr>
          <w:rFonts w:ascii="Cambria" w:hAnsi="Cambria" w:cstheme="minorHAnsi"/>
          <w:i/>
          <w:sz w:val="24"/>
          <w:szCs w:val="24"/>
        </w:rPr>
        <w:t>[applies to Monitoring Levels 2 &amp; 3, Active, only]</w:t>
      </w:r>
    </w:p>
    <w:p w14:paraId="4D513E59" w14:textId="77777777" w:rsidR="001C13D3" w:rsidRPr="00457557" w:rsidRDefault="001C13D3" w:rsidP="001C13D3">
      <w:pPr>
        <w:pStyle w:val="ListParagraph"/>
        <w:numPr>
          <w:ilvl w:val="0"/>
          <w:numId w:val="47"/>
        </w:numPr>
        <w:spacing w:after="240" w:line="240" w:lineRule="auto"/>
        <w:ind w:left="734" w:hanging="187"/>
        <w:contextualSpacing w:val="0"/>
        <w:rPr>
          <w:rFonts w:ascii="Cambria" w:hAnsi="Cambria" w:cstheme="minorHAnsi"/>
          <w:sz w:val="24"/>
          <w:szCs w:val="24"/>
        </w:rPr>
      </w:pPr>
      <w:r w:rsidRPr="00457557">
        <w:rPr>
          <w:rFonts w:ascii="Cambria" w:hAnsi="Cambria" w:cstheme="minorHAnsi"/>
          <w:sz w:val="24"/>
          <w:szCs w:val="24"/>
        </w:rPr>
        <w:t>Failure to report for UA/BA testing</w:t>
      </w:r>
      <w:r>
        <w:rPr>
          <w:rFonts w:ascii="Cambria" w:hAnsi="Cambria" w:cstheme="minorHAnsi"/>
          <w:sz w:val="24"/>
          <w:szCs w:val="24"/>
        </w:rPr>
        <w:t xml:space="preserve"> </w:t>
      </w:r>
      <w:r>
        <w:rPr>
          <w:rFonts w:ascii="Cambria" w:hAnsi="Cambria" w:cstheme="minorHAnsi"/>
          <w:i/>
          <w:sz w:val="24"/>
          <w:szCs w:val="24"/>
        </w:rPr>
        <w:t>[applies to Monitoring Levels 2 &amp; 3, Active, only]</w:t>
      </w:r>
    </w:p>
    <w:p w14:paraId="40D1A7B6" w14:textId="77777777" w:rsidR="001C13D3" w:rsidRPr="00457557" w:rsidRDefault="001C13D3" w:rsidP="001C13D3">
      <w:pPr>
        <w:ind w:left="360"/>
        <w:rPr>
          <w:rFonts w:ascii="Cambria" w:hAnsi="Cambria" w:cstheme="minorHAnsi"/>
          <w:sz w:val="24"/>
          <w:szCs w:val="24"/>
          <w:u w:val="single"/>
        </w:rPr>
      </w:pPr>
      <w:r w:rsidRPr="00457557">
        <w:rPr>
          <w:rFonts w:ascii="Cambria" w:hAnsi="Cambria" w:cstheme="minorHAnsi"/>
          <w:sz w:val="24"/>
          <w:szCs w:val="24"/>
          <w:u w:val="single"/>
        </w:rPr>
        <w:t>Moderate Violation: Reported to County Attorney and Defense Attorney</w:t>
      </w:r>
    </w:p>
    <w:p w14:paraId="461BC09E" w14:textId="77777777" w:rsidR="001C13D3" w:rsidRPr="00457557" w:rsidRDefault="001C13D3" w:rsidP="001C13D3">
      <w:pPr>
        <w:pStyle w:val="ListParagraph"/>
        <w:numPr>
          <w:ilvl w:val="0"/>
          <w:numId w:val="47"/>
        </w:numPr>
        <w:tabs>
          <w:tab w:val="left" w:pos="720"/>
        </w:tabs>
        <w:spacing w:after="80" w:line="240" w:lineRule="auto"/>
        <w:ind w:left="900"/>
        <w:contextualSpacing w:val="0"/>
        <w:rPr>
          <w:rFonts w:ascii="Cambria" w:hAnsi="Cambria" w:cstheme="minorHAnsi"/>
          <w:sz w:val="24"/>
          <w:szCs w:val="24"/>
        </w:rPr>
      </w:pPr>
      <w:r w:rsidRPr="00457557">
        <w:rPr>
          <w:rFonts w:ascii="Cambria" w:hAnsi="Cambria" w:cstheme="minorHAnsi"/>
          <w:sz w:val="24"/>
          <w:szCs w:val="24"/>
        </w:rPr>
        <w:t xml:space="preserve">Failure to </w:t>
      </w:r>
      <w:r>
        <w:rPr>
          <w:rFonts w:ascii="Cambria" w:hAnsi="Cambria" w:cstheme="minorHAnsi"/>
          <w:sz w:val="24"/>
          <w:szCs w:val="24"/>
        </w:rPr>
        <w:t>complete Check-In</w:t>
      </w:r>
      <w:r w:rsidRPr="00457557">
        <w:rPr>
          <w:rFonts w:ascii="Cambria" w:hAnsi="Cambria" w:cstheme="minorHAnsi"/>
          <w:sz w:val="24"/>
          <w:szCs w:val="24"/>
        </w:rPr>
        <w:t xml:space="preserve"> 2+ times to Pretrial Case Manager (or monitoring provider, if applicable) </w:t>
      </w:r>
      <w:r>
        <w:rPr>
          <w:rFonts w:ascii="Cambria" w:hAnsi="Cambria" w:cstheme="minorHAnsi"/>
          <w:i/>
          <w:sz w:val="24"/>
          <w:szCs w:val="24"/>
        </w:rPr>
        <w:t>[applies to Monitoring Levels 2 &amp; 3, Active, only]</w:t>
      </w:r>
    </w:p>
    <w:p w14:paraId="31B93C86" w14:textId="77777777" w:rsidR="001C13D3" w:rsidRPr="00457557" w:rsidRDefault="001C13D3" w:rsidP="001C13D3">
      <w:pPr>
        <w:pStyle w:val="ListParagraph"/>
        <w:numPr>
          <w:ilvl w:val="0"/>
          <w:numId w:val="47"/>
        </w:numPr>
        <w:tabs>
          <w:tab w:val="left" w:pos="720"/>
        </w:tabs>
        <w:spacing w:after="80" w:line="240" w:lineRule="auto"/>
        <w:ind w:left="900"/>
        <w:contextualSpacing w:val="0"/>
        <w:rPr>
          <w:rFonts w:ascii="Cambria" w:hAnsi="Cambria" w:cstheme="minorHAnsi"/>
          <w:sz w:val="24"/>
          <w:szCs w:val="24"/>
        </w:rPr>
      </w:pPr>
      <w:r w:rsidRPr="00457557">
        <w:rPr>
          <w:rFonts w:ascii="Cambria" w:hAnsi="Cambria" w:cstheme="minorHAnsi"/>
          <w:sz w:val="24"/>
          <w:szCs w:val="24"/>
        </w:rPr>
        <w:t>Failure to comply with GPS</w:t>
      </w:r>
      <w:r>
        <w:rPr>
          <w:rFonts w:ascii="Cambria" w:hAnsi="Cambria" w:cstheme="minorHAnsi"/>
          <w:sz w:val="24"/>
          <w:szCs w:val="24"/>
        </w:rPr>
        <w:t xml:space="preserve"> or alcohol/drug</w:t>
      </w:r>
      <w:r w:rsidRPr="00457557">
        <w:rPr>
          <w:rFonts w:ascii="Cambria" w:hAnsi="Cambria" w:cstheme="minorHAnsi"/>
          <w:sz w:val="24"/>
          <w:szCs w:val="24"/>
        </w:rPr>
        <w:t xml:space="preserve"> monitoring</w:t>
      </w:r>
      <w:r>
        <w:rPr>
          <w:rFonts w:ascii="Cambria" w:hAnsi="Cambria" w:cstheme="minorHAnsi"/>
          <w:sz w:val="24"/>
          <w:szCs w:val="24"/>
        </w:rPr>
        <w:t xml:space="preserve"> </w:t>
      </w:r>
      <w:r>
        <w:rPr>
          <w:rFonts w:ascii="Cambria" w:hAnsi="Cambria" w:cstheme="minorHAnsi"/>
          <w:i/>
          <w:sz w:val="24"/>
          <w:szCs w:val="24"/>
        </w:rPr>
        <w:t xml:space="preserve">[applies to Monitoring </w:t>
      </w:r>
      <w:r>
        <w:rPr>
          <w:rFonts w:ascii="Cambria" w:hAnsi="Cambria" w:cstheme="minorHAnsi"/>
          <w:i/>
          <w:sz w:val="24"/>
          <w:szCs w:val="24"/>
        </w:rPr>
        <w:br/>
        <w:t>Levels 2 &amp; 3, Active, only]</w:t>
      </w:r>
    </w:p>
    <w:p w14:paraId="2A53B354" w14:textId="77777777" w:rsidR="001C13D3" w:rsidRPr="00457557" w:rsidRDefault="001C13D3" w:rsidP="001C13D3">
      <w:pPr>
        <w:pStyle w:val="ListParagraph"/>
        <w:numPr>
          <w:ilvl w:val="0"/>
          <w:numId w:val="47"/>
        </w:numPr>
        <w:spacing w:after="80" w:line="240" w:lineRule="auto"/>
        <w:ind w:left="734" w:hanging="187"/>
        <w:contextualSpacing w:val="0"/>
        <w:rPr>
          <w:rFonts w:ascii="Cambria" w:hAnsi="Cambria" w:cstheme="minorHAnsi"/>
          <w:sz w:val="24"/>
          <w:szCs w:val="24"/>
        </w:rPr>
      </w:pPr>
      <w:r w:rsidRPr="00457557">
        <w:rPr>
          <w:rFonts w:ascii="Cambria" w:hAnsi="Cambria" w:cstheme="minorHAnsi"/>
          <w:sz w:val="24"/>
          <w:szCs w:val="24"/>
        </w:rPr>
        <w:t>Failure to report to Court as scheduled</w:t>
      </w:r>
    </w:p>
    <w:p w14:paraId="68135E67" w14:textId="77777777" w:rsidR="001C13D3" w:rsidRPr="00457557" w:rsidRDefault="001C13D3" w:rsidP="001C13D3">
      <w:pPr>
        <w:pStyle w:val="ListParagraph"/>
        <w:numPr>
          <w:ilvl w:val="0"/>
          <w:numId w:val="47"/>
        </w:numPr>
        <w:spacing w:after="240" w:line="240" w:lineRule="auto"/>
        <w:ind w:left="734" w:hanging="187"/>
        <w:contextualSpacing w:val="0"/>
        <w:rPr>
          <w:rFonts w:ascii="Cambria" w:hAnsi="Cambria" w:cstheme="minorHAnsi"/>
          <w:sz w:val="24"/>
          <w:szCs w:val="24"/>
        </w:rPr>
      </w:pPr>
      <w:r w:rsidRPr="00457557">
        <w:rPr>
          <w:rFonts w:ascii="Cambria" w:hAnsi="Cambria" w:cstheme="minorHAnsi"/>
          <w:sz w:val="24"/>
          <w:szCs w:val="24"/>
        </w:rPr>
        <w:t>Use of alcohol or drugs</w:t>
      </w:r>
      <w:r>
        <w:rPr>
          <w:rFonts w:ascii="Cambria" w:hAnsi="Cambria" w:cstheme="minorHAnsi"/>
          <w:sz w:val="24"/>
          <w:szCs w:val="24"/>
        </w:rPr>
        <w:t>, first-time</w:t>
      </w:r>
    </w:p>
    <w:p w14:paraId="4A197ACC" w14:textId="77777777" w:rsidR="001C13D3" w:rsidRPr="00457557" w:rsidRDefault="001C13D3" w:rsidP="001C13D3">
      <w:pPr>
        <w:ind w:left="360"/>
        <w:rPr>
          <w:rFonts w:ascii="Cambria" w:hAnsi="Cambria" w:cstheme="minorHAnsi"/>
          <w:sz w:val="24"/>
          <w:szCs w:val="24"/>
          <w:u w:val="single"/>
        </w:rPr>
      </w:pPr>
      <w:r w:rsidRPr="00457557">
        <w:rPr>
          <w:rFonts w:ascii="Cambria" w:hAnsi="Cambria" w:cstheme="minorHAnsi"/>
          <w:sz w:val="24"/>
          <w:szCs w:val="24"/>
          <w:u w:val="single"/>
        </w:rPr>
        <w:t>Serious Violation: Reported to Judicial Officer, County Attorney</w:t>
      </w:r>
      <w:r>
        <w:rPr>
          <w:rFonts w:ascii="Cambria" w:hAnsi="Cambria" w:cstheme="minorHAnsi"/>
          <w:sz w:val="24"/>
          <w:szCs w:val="24"/>
          <w:u w:val="single"/>
        </w:rPr>
        <w:t>,</w:t>
      </w:r>
      <w:r w:rsidRPr="00457557">
        <w:rPr>
          <w:rFonts w:ascii="Cambria" w:hAnsi="Cambria" w:cstheme="minorHAnsi"/>
          <w:sz w:val="24"/>
          <w:szCs w:val="24"/>
          <w:u w:val="single"/>
        </w:rPr>
        <w:t xml:space="preserve"> &amp; Defense Attorney</w:t>
      </w:r>
    </w:p>
    <w:p w14:paraId="4E88B4BB" w14:textId="77777777" w:rsidR="001C13D3" w:rsidRPr="00457557" w:rsidRDefault="001C13D3" w:rsidP="001C13D3">
      <w:pPr>
        <w:pStyle w:val="ListParagraph"/>
        <w:numPr>
          <w:ilvl w:val="0"/>
          <w:numId w:val="47"/>
        </w:numPr>
        <w:spacing w:after="80" w:line="240" w:lineRule="auto"/>
        <w:ind w:left="734" w:hanging="187"/>
        <w:contextualSpacing w:val="0"/>
        <w:rPr>
          <w:rFonts w:ascii="Cambria" w:hAnsi="Cambria" w:cstheme="minorHAnsi"/>
          <w:sz w:val="24"/>
          <w:szCs w:val="24"/>
        </w:rPr>
      </w:pPr>
      <w:r w:rsidRPr="00457557">
        <w:rPr>
          <w:rFonts w:ascii="Cambria" w:hAnsi="Cambria" w:cstheme="minorHAnsi"/>
          <w:sz w:val="24"/>
          <w:szCs w:val="24"/>
        </w:rPr>
        <w:t xml:space="preserve">Use of alcohol or drugs </w:t>
      </w:r>
      <w:r>
        <w:rPr>
          <w:rFonts w:ascii="Cambria" w:hAnsi="Cambria" w:cstheme="minorHAnsi"/>
          <w:sz w:val="24"/>
          <w:szCs w:val="24"/>
        </w:rPr>
        <w:t>2+ times</w:t>
      </w:r>
    </w:p>
    <w:p w14:paraId="6D8A54DB" w14:textId="77777777" w:rsidR="001C13D3" w:rsidRPr="00457557" w:rsidRDefault="001C13D3" w:rsidP="001C13D3">
      <w:pPr>
        <w:pStyle w:val="ListParagraph"/>
        <w:numPr>
          <w:ilvl w:val="0"/>
          <w:numId w:val="47"/>
        </w:numPr>
        <w:spacing w:after="80" w:line="240" w:lineRule="auto"/>
        <w:ind w:left="734" w:hanging="187"/>
        <w:contextualSpacing w:val="0"/>
        <w:rPr>
          <w:rFonts w:ascii="Cambria" w:hAnsi="Cambria" w:cstheme="minorHAnsi"/>
          <w:sz w:val="24"/>
          <w:szCs w:val="24"/>
        </w:rPr>
      </w:pPr>
      <w:r w:rsidRPr="00457557">
        <w:rPr>
          <w:rFonts w:ascii="Cambria" w:hAnsi="Cambria" w:cstheme="minorHAnsi"/>
          <w:sz w:val="24"/>
          <w:szCs w:val="24"/>
        </w:rPr>
        <w:t>Arrest for new crime</w:t>
      </w:r>
    </w:p>
    <w:p w14:paraId="6EE6371D" w14:textId="77777777" w:rsidR="001C13D3" w:rsidRPr="00457557" w:rsidRDefault="001C13D3" w:rsidP="001C13D3">
      <w:pPr>
        <w:pStyle w:val="ListParagraph"/>
        <w:numPr>
          <w:ilvl w:val="0"/>
          <w:numId w:val="47"/>
        </w:numPr>
        <w:ind w:hanging="180"/>
        <w:rPr>
          <w:rFonts w:ascii="Cambria" w:hAnsi="Cambria" w:cstheme="minorHAnsi"/>
          <w:sz w:val="24"/>
          <w:szCs w:val="24"/>
        </w:rPr>
      </w:pPr>
      <w:r w:rsidRPr="00457557">
        <w:rPr>
          <w:rFonts w:ascii="Cambria" w:hAnsi="Cambria" w:cstheme="minorHAnsi"/>
          <w:sz w:val="24"/>
          <w:szCs w:val="24"/>
        </w:rPr>
        <w:t>Absconds</w:t>
      </w:r>
    </w:p>
    <w:p w14:paraId="2205675C" w14:textId="76CDB683" w:rsidR="00CA7CF0" w:rsidRPr="00CA7CF0" w:rsidRDefault="00CA7CF0" w:rsidP="00CA7CF0">
      <w:pPr>
        <w:rPr>
          <w:b/>
          <w:sz w:val="24"/>
          <w:szCs w:val="24"/>
        </w:rPr>
      </w:pPr>
      <w:r>
        <w:br w:type="page"/>
      </w:r>
    </w:p>
    <w:p w14:paraId="0CB2EB17" w14:textId="77777777" w:rsidR="00073A95" w:rsidRPr="00073A95" w:rsidRDefault="00073A95" w:rsidP="00073A95">
      <w:pPr>
        <w:pStyle w:val="BodyText"/>
        <w:sectPr w:rsidR="00073A95" w:rsidRPr="00073A95" w:rsidSect="00073A95">
          <w:headerReference w:type="default" r:id="rId16"/>
          <w:headerReference w:type="first" r:id="rId17"/>
          <w:pgSz w:w="12240" w:h="15840" w:code="1"/>
          <w:pgMar w:top="1800" w:right="1195" w:bottom="1440" w:left="3355" w:header="720" w:footer="720" w:gutter="0"/>
          <w:cols w:space="720"/>
          <w:titlePg/>
          <w:docGrid w:linePitch="218"/>
        </w:sectPr>
      </w:pPr>
    </w:p>
    <w:p w14:paraId="6BD153D4" w14:textId="2F880925" w:rsidR="007B54A9" w:rsidRDefault="007B54A9" w:rsidP="007B54A9">
      <w:pPr>
        <w:pStyle w:val="ChapterTitle"/>
      </w:pPr>
      <w:r>
        <w:lastRenderedPageBreak/>
        <w:t>Scoring the PSA</w:t>
      </w:r>
    </w:p>
    <w:p w14:paraId="75C71BE5" w14:textId="404F2BED" w:rsidR="00EB2163" w:rsidRDefault="00EB2163" w:rsidP="00B2655A">
      <w:pPr>
        <w:pStyle w:val="BodyText"/>
      </w:pPr>
      <w:r>
        <w:t>Risk Factors</w:t>
      </w:r>
    </w:p>
    <w:p w14:paraId="4898C3D5" w14:textId="340DBDDC" w:rsidR="00EB2163" w:rsidRDefault="00EB2163" w:rsidP="00B2655A">
      <w:pPr>
        <w:pStyle w:val="BodyText"/>
      </w:pPr>
      <w:r>
        <w:t>The table below outlines the nine factors and illustrates which factors are related to each of the pretrial outcomes – that is, which factors are used to predict NCA, N</w:t>
      </w:r>
      <w:r w:rsidR="00BA7EBB">
        <w:t>VCA, and FTA.</w:t>
      </w:r>
    </w:p>
    <w:tbl>
      <w:tblPr>
        <w:tblStyle w:val="TableGrid"/>
        <w:tblW w:w="0" w:type="auto"/>
        <w:tblLook w:val="04A0" w:firstRow="1" w:lastRow="0" w:firstColumn="1" w:lastColumn="0" w:noHBand="0" w:noVBand="1"/>
      </w:tblPr>
      <w:tblGrid>
        <w:gridCol w:w="5120"/>
        <w:gridCol w:w="720"/>
        <w:gridCol w:w="900"/>
        <w:gridCol w:w="940"/>
      </w:tblGrid>
      <w:tr w:rsidR="00BA7EBB" w14:paraId="5D0A48C7" w14:textId="77777777" w:rsidTr="00BA7EBB">
        <w:tc>
          <w:tcPr>
            <w:tcW w:w="7680" w:type="dxa"/>
            <w:gridSpan w:val="4"/>
            <w:tcBorders>
              <w:top w:val="nil"/>
              <w:left w:val="nil"/>
              <w:bottom w:val="single" w:sz="4" w:space="0" w:color="auto"/>
              <w:right w:val="nil"/>
            </w:tcBorders>
          </w:tcPr>
          <w:p w14:paraId="20CC69F9" w14:textId="1860664B" w:rsidR="00BA7EBB" w:rsidRDefault="009F0D44" w:rsidP="00BA7EBB">
            <w:pPr>
              <w:pStyle w:val="BodyText"/>
              <w:jc w:val="center"/>
            </w:pPr>
            <w:r>
              <w:t xml:space="preserve">Table 1. </w:t>
            </w:r>
            <w:r w:rsidR="00BA7EBB">
              <w:t>Relationship Between Risk Factors and Pretrial Outcomes</w:t>
            </w:r>
          </w:p>
        </w:tc>
      </w:tr>
      <w:tr w:rsidR="00BA7EBB" w14:paraId="7C871FD7" w14:textId="77777777" w:rsidTr="00BA7EBB">
        <w:tc>
          <w:tcPr>
            <w:tcW w:w="5120" w:type="dxa"/>
            <w:tcBorders>
              <w:top w:val="nil"/>
              <w:left w:val="single" w:sz="4" w:space="0" w:color="auto"/>
              <w:bottom w:val="nil"/>
              <w:right w:val="single" w:sz="4" w:space="0" w:color="auto"/>
            </w:tcBorders>
          </w:tcPr>
          <w:p w14:paraId="0D9A6D60" w14:textId="0419A76A" w:rsidR="00EB2163" w:rsidRDefault="00EB2163" w:rsidP="00B2655A">
            <w:pPr>
              <w:pStyle w:val="BodyText"/>
            </w:pPr>
            <w:r>
              <w:t>Risk Factor</w:t>
            </w:r>
          </w:p>
        </w:tc>
        <w:tc>
          <w:tcPr>
            <w:tcW w:w="720" w:type="dxa"/>
            <w:tcBorders>
              <w:top w:val="nil"/>
              <w:left w:val="single" w:sz="4" w:space="0" w:color="auto"/>
              <w:bottom w:val="nil"/>
              <w:right w:val="single" w:sz="4" w:space="0" w:color="auto"/>
            </w:tcBorders>
          </w:tcPr>
          <w:p w14:paraId="7862A65B" w14:textId="67384E9E" w:rsidR="00EB2163" w:rsidRDefault="00EB2163" w:rsidP="00BA7EBB">
            <w:pPr>
              <w:pStyle w:val="BodyText"/>
              <w:jc w:val="center"/>
            </w:pPr>
            <w:r>
              <w:t>FTA</w:t>
            </w:r>
          </w:p>
        </w:tc>
        <w:tc>
          <w:tcPr>
            <w:tcW w:w="900" w:type="dxa"/>
            <w:tcBorders>
              <w:top w:val="nil"/>
              <w:left w:val="single" w:sz="4" w:space="0" w:color="auto"/>
              <w:bottom w:val="nil"/>
              <w:right w:val="single" w:sz="4" w:space="0" w:color="auto"/>
            </w:tcBorders>
          </w:tcPr>
          <w:p w14:paraId="7B94F0E2" w14:textId="762CFDAE" w:rsidR="00EB2163" w:rsidRDefault="00EB2163" w:rsidP="00BA7EBB">
            <w:pPr>
              <w:pStyle w:val="BodyText"/>
              <w:jc w:val="center"/>
            </w:pPr>
            <w:r>
              <w:t>NCA</w:t>
            </w:r>
          </w:p>
        </w:tc>
        <w:tc>
          <w:tcPr>
            <w:tcW w:w="940" w:type="dxa"/>
            <w:tcBorders>
              <w:top w:val="nil"/>
              <w:left w:val="single" w:sz="4" w:space="0" w:color="auto"/>
              <w:bottom w:val="nil"/>
              <w:right w:val="single" w:sz="4" w:space="0" w:color="auto"/>
            </w:tcBorders>
          </w:tcPr>
          <w:p w14:paraId="1BEA09D0" w14:textId="370CE6D6" w:rsidR="00EB2163" w:rsidRDefault="00EB2163" w:rsidP="00BA7EBB">
            <w:pPr>
              <w:pStyle w:val="BodyText"/>
              <w:jc w:val="center"/>
            </w:pPr>
            <w:r>
              <w:t>NVCA</w:t>
            </w:r>
          </w:p>
        </w:tc>
      </w:tr>
      <w:tr w:rsidR="00BA7EBB" w14:paraId="1DF5A7E9" w14:textId="77777777" w:rsidTr="00BA7EBB">
        <w:tc>
          <w:tcPr>
            <w:tcW w:w="5120" w:type="dxa"/>
            <w:tcBorders>
              <w:top w:val="nil"/>
              <w:left w:val="single" w:sz="4" w:space="0" w:color="auto"/>
              <w:bottom w:val="nil"/>
              <w:right w:val="single" w:sz="4" w:space="0" w:color="auto"/>
            </w:tcBorders>
            <w:shd w:val="clear" w:color="auto" w:fill="D9D9D9" w:themeFill="background1" w:themeFillShade="D9"/>
          </w:tcPr>
          <w:p w14:paraId="66DD6C8B" w14:textId="55F87849" w:rsidR="00EB2163" w:rsidRDefault="00EB2163" w:rsidP="00EB2163">
            <w:pPr>
              <w:pStyle w:val="BodyText"/>
            </w:pPr>
            <w:r>
              <w:t>1. Age at current arrest</w:t>
            </w:r>
          </w:p>
        </w:tc>
        <w:tc>
          <w:tcPr>
            <w:tcW w:w="720" w:type="dxa"/>
            <w:tcBorders>
              <w:top w:val="nil"/>
              <w:left w:val="single" w:sz="4" w:space="0" w:color="auto"/>
              <w:bottom w:val="nil"/>
              <w:right w:val="single" w:sz="4" w:space="0" w:color="auto"/>
            </w:tcBorders>
            <w:shd w:val="clear" w:color="auto" w:fill="D9D9D9" w:themeFill="background1" w:themeFillShade="D9"/>
            <w:vAlign w:val="center"/>
          </w:tcPr>
          <w:p w14:paraId="579A10FF" w14:textId="77777777" w:rsidR="00EB2163" w:rsidRDefault="00EB2163" w:rsidP="00BA7EBB">
            <w:pPr>
              <w:pStyle w:val="BodyText"/>
              <w:jc w:val="center"/>
            </w:pPr>
          </w:p>
        </w:tc>
        <w:tc>
          <w:tcPr>
            <w:tcW w:w="900" w:type="dxa"/>
            <w:tcBorders>
              <w:top w:val="nil"/>
              <w:left w:val="single" w:sz="4" w:space="0" w:color="auto"/>
              <w:bottom w:val="nil"/>
              <w:right w:val="single" w:sz="4" w:space="0" w:color="auto"/>
            </w:tcBorders>
            <w:shd w:val="clear" w:color="auto" w:fill="D9D9D9" w:themeFill="background1" w:themeFillShade="D9"/>
            <w:vAlign w:val="center"/>
          </w:tcPr>
          <w:p w14:paraId="4C8AF42E" w14:textId="382B6F19" w:rsidR="00EB2163" w:rsidRDefault="00EB2163" w:rsidP="00BA7EBB">
            <w:pPr>
              <w:pStyle w:val="BodyText"/>
              <w:jc w:val="center"/>
            </w:pPr>
            <w:r>
              <w:t>X</w:t>
            </w:r>
          </w:p>
        </w:tc>
        <w:tc>
          <w:tcPr>
            <w:tcW w:w="940" w:type="dxa"/>
            <w:tcBorders>
              <w:top w:val="nil"/>
              <w:left w:val="single" w:sz="4" w:space="0" w:color="auto"/>
              <w:bottom w:val="nil"/>
              <w:right w:val="single" w:sz="4" w:space="0" w:color="auto"/>
            </w:tcBorders>
            <w:shd w:val="clear" w:color="auto" w:fill="D9D9D9" w:themeFill="background1" w:themeFillShade="D9"/>
            <w:vAlign w:val="center"/>
          </w:tcPr>
          <w:p w14:paraId="09C677FC" w14:textId="77777777" w:rsidR="00EB2163" w:rsidRDefault="00EB2163" w:rsidP="00BA7EBB">
            <w:pPr>
              <w:pStyle w:val="BodyText"/>
              <w:jc w:val="center"/>
            </w:pPr>
          </w:p>
        </w:tc>
      </w:tr>
      <w:tr w:rsidR="00BA7EBB" w14:paraId="3D41B7F9" w14:textId="77777777" w:rsidTr="00BA7EBB">
        <w:tc>
          <w:tcPr>
            <w:tcW w:w="5120" w:type="dxa"/>
            <w:tcBorders>
              <w:top w:val="nil"/>
              <w:left w:val="single" w:sz="4" w:space="0" w:color="auto"/>
              <w:bottom w:val="nil"/>
              <w:right w:val="single" w:sz="4" w:space="0" w:color="auto"/>
            </w:tcBorders>
            <w:shd w:val="clear" w:color="auto" w:fill="D9D9D9" w:themeFill="background1" w:themeFillShade="D9"/>
          </w:tcPr>
          <w:p w14:paraId="7437534F" w14:textId="7551DF1B" w:rsidR="00EB2163" w:rsidRDefault="00EB2163" w:rsidP="00B2655A">
            <w:pPr>
              <w:pStyle w:val="BodyText"/>
            </w:pPr>
            <w:r>
              <w:t>2. Current violent offense</w:t>
            </w:r>
          </w:p>
        </w:tc>
        <w:tc>
          <w:tcPr>
            <w:tcW w:w="720" w:type="dxa"/>
            <w:tcBorders>
              <w:top w:val="nil"/>
              <w:left w:val="single" w:sz="4" w:space="0" w:color="auto"/>
              <w:bottom w:val="nil"/>
              <w:right w:val="single" w:sz="4" w:space="0" w:color="auto"/>
            </w:tcBorders>
            <w:shd w:val="clear" w:color="auto" w:fill="D9D9D9" w:themeFill="background1" w:themeFillShade="D9"/>
            <w:vAlign w:val="center"/>
          </w:tcPr>
          <w:p w14:paraId="0983EA59" w14:textId="77777777" w:rsidR="00EB2163" w:rsidRDefault="00EB2163" w:rsidP="00BA7EBB">
            <w:pPr>
              <w:pStyle w:val="BodyText"/>
              <w:jc w:val="center"/>
            </w:pPr>
          </w:p>
        </w:tc>
        <w:tc>
          <w:tcPr>
            <w:tcW w:w="900" w:type="dxa"/>
            <w:tcBorders>
              <w:top w:val="nil"/>
              <w:left w:val="single" w:sz="4" w:space="0" w:color="auto"/>
              <w:bottom w:val="nil"/>
              <w:right w:val="single" w:sz="4" w:space="0" w:color="auto"/>
            </w:tcBorders>
            <w:shd w:val="clear" w:color="auto" w:fill="D9D9D9" w:themeFill="background1" w:themeFillShade="D9"/>
            <w:vAlign w:val="center"/>
          </w:tcPr>
          <w:p w14:paraId="24C21A7F" w14:textId="77777777" w:rsidR="00EB2163" w:rsidRDefault="00EB2163" w:rsidP="00BA7EBB">
            <w:pPr>
              <w:pStyle w:val="BodyText"/>
              <w:jc w:val="center"/>
            </w:pPr>
          </w:p>
        </w:tc>
        <w:tc>
          <w:tcPr>
            <w:tcW w:w="940" w:type="dxa"/>
            <w:tcBorders>
              <w:top w:val="nil"/>
              <w:left w:val="single" w:sz="4" w:space="0" w:color="auto"/>
              <w:bottom w:val="nil"/>
              <w:right w:val="single" w:sz="4" w:space="0" w:color="auto"/>
            </w:tcBorders>
            <w:shd w:val="clear" w:color="auto" w:fill="D9D9D9" w:themeFill="background1" w:themeFillShade="D9"/>
            <w:vAlign w:val="center"/>
          </w:tcPr>
          <w:p w14:paraId="457F3C86" w14:textId="60E90485" w:rsidR="00EB2163" w:rsidRDefault="00EB2163" w:rsidP="00BA7EBB">
            <w:pPr>
              <w:pStyle w:val="BodyText"/>
              <w:jc w:val="center"/>
            </w:pPr>
            <w:r>
              <w:t>X</w:t>
            </w:r>
          </w:p>
        </w:tc>
      </w:tr>
      <w:tr w:rsidR="00BA7EBB" w14:paraId="46006B51" w14:textId="77777777" w:rsidTr="00BA7EBB">
        <w:tc>
          <w:tcPr>
            <w:tcW w:w="5120" w:type="dxa"/>
            <w:tcBorders>
              <w:top w:val="nil"/>
              <w:left w:val="single" w:sz="4" w:space="0" w:color="auto"/>
              <w:bottom w:val="nil"/>
              <w:right w:val="single" w:sz="4" w:space="0" w:color="auto"/>
            </w:tcBorders>
            <w:shd w:val="clear" w:color="auto" w:fill="D9D9D9" w:themeFill="background1" w:themeFillShade="D9"/>
          </w:tcPr>
          <w:p w14:paraId="1D3B9663" w14:textId="665F49F1" w:rsidR="00EB2163" w:rsidRDefault="00EB2163" w:rsidP="00B2655A">
            <w:pPr>
              <w:pStyle w:val="BodyText"/>
            </w:pPr>
            <w:r>
              <w:t>Current violence offense and 20 years old or younger</w:t>
            </w:r>
          </w:p>
        </w:tc>
        <w:tc>
          <w:tcPr>
            <w:tcW w:w="720" w:type="dxa"/>
            <w:tcBorders>
              <w:top w:val="nil"/>
              <w:left w:val="single" w:sz="4" w:space="0" w:color="auto"/>
              <w:bottom w:val="nil"/>
              <w:right w:val="single" w:sz="4" w:space="0" w:color="auto"/>
            </w:tcBorders>
            <w:shd w:val="clear" w:color="auto" w:fill="D9D9D9" w:themeFill="background1" w:themeFillShade="D9"/>
            <w:vAlign w:val="center"/>
          </w:tcPr>
          <w:p w14:paraId="12052005" w14:textId="77777777" w:rsidR="00EB2163" w:rsidRDefault="00EB2163" w:rsidP="00BA7EBB">
            <w:pPr>
              <w:pStyle w:val="BodyText"/>
              <w:jc w:val="center"/>
            </w:pPr>
          </w:p>
        </w:tc>
        <w:tc>
          <w:tcPr>
            <w:tcW w:w="900" w:type="dxa"/>
            <w:tcBorders>
              <w:top w:val="nil"/>
              <w:left w:val="single" w:sz="4" w:space="0" w:color="auto"/>
              <w:bottom w:val="nil"/>
              <w:right w:val="single" w:sz="4" w:space="0" w:color="auto"/>
            </w:tcBorders>
            <w:shd w:val="clear" w:color="auto" w:fill="D9D9D9" w:themeFill="background1" w:themeFillShade="D9"/>
            <w:vAlign w:val="center"/>
          </w:tcPr>
          <w:p w14:paraId="69AA214D" w14:textId="77777777" w:rsidR="00EB2163" w:rsidRDefault="00EB2163" w:rsidP="00BA7EBB">
            <w:pPr>
              <w:pStyle w:val="BodyText"/>
              <w:jc w:val="center"/>
            </w:pPr>
          </w:p>
        </w:tc>
        <w:tc>
          <w:tcPr>
            <w:tcW w:w="940" w:type="dxa"/>
            <w:tcBorders>
              <w:top w:val="nil"/>
              <w:left w:val="single" w:sz="4" w:space="0" w:color="auto"/>
              <w:bottom w:val="nil"/>
              <w:right w:val="single" w:sz="4" w:space="0" w:color="auto"/>
            </w:tcBorders>
            <w:shd w:val="clear" w:color="auto" w:fill="D9D9D9" w:themeFill="background1" w:themeFillShade="D9"/>
            <w:vAlign w:val="center"/>
          </w:tcPr>
          <w:p w14:paraId="3ECC7DBC" w14:textId="70A48468" w:rsidR="00EB2163" w:rsidRDefault="00EB2163" w:rsidP="00BA7EBB">
            <w:pPr>
              <w:pStyle w:val="BodyText"/>
              <w:jc w:val="center"/>
            </w:pPr>
            <w:r>
              <w:t>X</w:t>
            </w:r>
          </w:p>
        </w:tc>
      </w:tr>
      <w:tr w:rsidR="00BA7EBB" w14:paraId="7DCB382D" w14:textId="77777777" w:rsidTr="00BA7EBB">
        <w:tc>
          <w:tcPr>
            <w:tcW w:w="5120" w:type="dxa"/>
            <w:tcBorders>
              <w:top w:val="nil"/>
              <w:left w:val="single" w:sz="4" w:space="0" w:color="auto"/>
              <w:bottom w:val="nil"/>
              <w:right w:val="single" w:sz="4" w:space="0" w:color="auto"/>
            </w:tcBorders>
          </w:tcPr>
          <w:p w14:paraId="1921C9FC" w14:textId="3E659EA8" w:rsidR="00EB2163" w:rsidRDefault="00EB2163" w:rsidP="00B2655A">
            <w:pPr>
              <w:pStyle w:val="BodyText"/>
            </w:pPr>
            <w:r>
              <w:t>3. Pending charge at the time of the offense</w:t>
            </w:r>
          </w:p>
        </w:tc>
        <w:tc>
          <w:tcPr>
            <w:tcW w:w="720" w:type="dxa"/>
            <w:tcBorders>
              <w:top w:val="nil"/>
              <w:left w:val="single" w:sz="4" w:space="0" w:color="auto"/>
              <w:bottom w:val="nil"/>
              <w:right w:val="single" w:sz="4" w:space="0" w:color="auto"/>
            </w:tcBorders>
            <w:vAlign w:val="center"/>
          </w:tcPr>
          <w:p w14:paraId="404E8DEE" w14:textId="5B846EBE" w:rsidR="00EB2163" w:rsidRDefault="00EB2163" w:rsidP="00BA7EBB">
            <w:pPr>
              <w:pStyle w:val="BodyText"/>
              <w:jc w:val="center"/>
            </w:pPr>
            <w:r>
              <w:t>X</w:t>
            </w:r>
          </w:p>
        </w:tc>
        <w:tc>
          <w:tcPr>
            <w:tcW w:w="900" w:type="dxa"/>
            <w:tcBorders>
              <w:top w:val="nil"/>
              <w:left w:val="single" w:sz="4" w:space="0" w:color="auto"/>
              <w:bottom w:val="nil"/>
              <w:right w:val="single" w:sz="4" w:space="0" w:color="auto"/>
            </w:tcBorders>
            <w:vAlign w:val="center"/>
          </w:tcPr>
          <w:p w14:paraId="20A7C4F2" w14:textId="02995574" w:rsidR="00EB2163" w:rsidRDefault="00EB2163" w:rsidP="00BA7EBB">
            <w:pPr>
              <w:pStyle w:val="BodyText"/>
              <w:jc w:val="center"/>
            </w:pPr>
            <w:r>
              <w:t>X</w:t>
            </w:r>
          </w:p>
        </w:tc>
        <w:tc>
          <w:tcPr>
            <w:tcW w:w="940" w:type="dxa"/>
            <w:tcBorders>
              <w:top w:val="nil"/>
              <w:left w:val="single" w:sz="4" w:space="0" w:color="auto"/>
              <w:bottom w:val="nil"/>
              <w:right w:val="single" w:sz="4" w:space="0" w:color="auto"/>
            </w:tcBorders>
            <w:vAlign w:val="center"/>
          </w:tcPr>
          <w:p w14:paraId="5F3B3774" w14:textId="4F70023B" w:rsidR="00EB2163" w:rsidRDefault="00EB2163" w:rsidP="00BA7EBB">
            <w:pPr>
              <w:pStyle w:val="BodyText"/>
              <w:jc w:val="center"/>
            </w:pPr>
            <w:r>
              <w:t>X</w:t>
            </w:r>
          </w:p>
        </w:tc>
      </w:tr>
      <w:tr w:rsidR="00BA7EBB" w14:paraId="23BE480C" w14:textId="77777777" w:rsidTr="00BA7EBB">
        <w:trPr>
          <w:trHeight w:val="539"/>
        </w:trPr>
        <w:tc>
          <w:tcPr>
            <w:tcW w:w="5120" w:type="dxa"/>
            <w:tcBorders>
              <w:top w:val="nil"/>
              <w:left w:val="single" w:sz="4" w:space="0" w:color="auto"/>
              <w:bottom w:val="nil"/>
              <w:right w:val="single" w:sz="4" w:space="0" w:color="auto"/>
            </w:tcBorders>
            <w:shd w:val="clear" w:color="auto" w:fill="D9D9D9" w:themeFill="background1" w:themeFillShade="D9"/>
          </w:tcPr>
          <w:p w14:paraId="78370AC8" w14:textId="4D5A19B9" w:rsidR="00EB2163" w:rsidRDefault="00EB2163" w:rsidP="00B2655A">
            <w:pPr>
              <w:pStyle w:val="BodyText"/>
            </w:pPr>
            <w:r>
              <w:t>4. Prior misdemeanor conviction</w:t>
            </w:r>
          </w:p>
        </w:tc>
        <w:tc>
          <w:tcPr>
            <w:tcW w:w="720" w:type="dxa"/>
            <w:tcBorders>
              <w:top w:val="nil"/>
              <w:left w:val="single" w:sz="4" w:space="0" w:color="auto"/>
              <w:bottom w:val="nil"/>
              <w:right w:val="single" w:sz="4" w:space="0" w:color="auto"/>
            </w:tcBorders>
            <w:shd w:val="clear" w:color="auto" w:fill="D9D9D9" w:themeFill="background1" w:themeFillShade="D9"/>
            <w:vAlign w:val="center"/>
          </w:tcPr>
          <w:p w14:paraId="72A5A559" w14:textId="77777777" w:rsidR="00EB2163" w:rsidRDefault="00EB2163" w:rsidP="00BA7EBB">
            <w:pPr>
              <w:pStyle w:val="BodyText"/>
              <w:jc w:val="center"/>
            </w:pPr>
          </w:p>
        </w:tc>
        <w:tc>
          <w:tcPr>
            <w:tcW w:w="900" w:type="dxa"/>
            <w:tcBorders>
              <w:top w:val="nil"/>
              <w:left w:val="single" w:sz="4" w:space="0" w:color="auto"/>
              <w:bottom w:val="nil"/>
              <w:right w:val="single" w:sz="4" w:space="0" w:color="auto"/>
            </w:tcBorders>
            <w:shd w:val="clear" w:color="auto" w:fill="D9D9D9" w:themeFill="background1" w:themeFillShade="D9"/>
            <w:vAlign w:val="center"/>
          </w:tcPr>
          <w:p w14:paraId="57C52990" w14:textId="1499BFE0" w:rsidR="00EB2163" w:rsidRDefault="00EB2163" w:rsidP="00BA7EBB">
            <w:pPr>
              <w:pStyle w:val="BodyText"/>
              <w:jc w:val="center"/>
            </w:pPr>
            <w:r>
              <w:t>X</w:t>
            </w:r>
          </w:p>
        </w:tc>
        <w:tc>
          <w:tcPr>
            <w:tcW w:w="940" w:type="dxa"/>
            <w:tcBorders>
              <w:top w:val="nil"/>
              <w:left w:val="single" w:sz="4" w:space="0" w:color="auto"/>
              <w:bottom w:val="nil"/>
              <w:right w:val="single" w:sz="4" w:space="0" w:color="auto"/>
            </w:tcBorders>
            <w:shd w:val="clear" w:color="auto" w:fill="D9D9D9" w:themeFill="background1" w:themeFillShade="D9"/>
            <w:vAlign w:val="center"/>
          </w:tcPr>
          <w:p w14:paraId="41D8583F" w14:textId="77777777" w:rsidR="00EB2163" w:rsidRDefault="00EB2163" w:rsidP="00BA7EBB">
            <w:pPr>
              <w:pStyle w:val="BodyText"/>
              <w:jc w:val="center"/>
            </w:pPr>
          </w:p>
        </w:tc>
      </w:tr>
      <w:tr w:rsidR="00BA7EBB" w14:paraId="5648E18E" w14:textId="77777777" w:rsidTr="00BA7EBB">
        <w:tc>
          <w:tcPr>
            <w:tcW w:w="5120" w:type="dxa"/>
            <w:tcBorders>
              <w:top w:val="nil"/>
              <w:left w:val="single" w:sz="4" w:space="0" w:color="auto"/>
              <w:bottom w:val="nil"/>
              <w:right w:val="single" w:sz="4" w:space="0" w:color="auto"/>
            </w:tcBorders>
            <w:shd w:val="clear" w:color="auto" w:fill="D9D9D9" w:themeFill="background1" w:themeFillShade="D9"/>
          </w:tcPr>
          <w:p w14:paraId="55DEC20F" w14:textId="7FC941C5" w:rsidR="00EB2163" w:rsidRDefault="00EB2163" w:rsidP="00BA7EBB">
            <w:pPr>
              <w:pStyle w:val="BodyText"/>
            </w:pPr>
            <w:r>
              <w:t xml:space="preserve">5. </w:t>
            </w:r>
            <w:r w:rsidR="00BA7EBB">
              <w:t>Prior felony conviction</w:t>
            </w:r>
          </w:p>
        </w:tc>
        <w:tc>
          <w:tcPr>
            <w:tcW w:w="720" w:type="dxa"/>
            <w:tcBorders>
              <w:top w:val="nil"/>
              <w:left w:val="single" w:sz="4" w:space="0" w:color="auto"/>
              <w:bottom w:val="nil"/>
              <w:right w:val="single" w:sz="4" w:space="0" w:color="auto"/>
            </w:tcBorders>
            <w:shd w:val="clear" w:color="auto" w:fill="D9D9D9" w:themeFill="background1" w:themeFillShade="D9"/>
            <w:vAlign w:val="center"/>
          </w:tcPr>
          <w:p w14:paraId="5DC7A126" w14:textId="34E6F6FF" w:rsidR="00EB2163" w:rsidRDefault="00EB2163" w:rsidP="00BA7EBB">
            <w:pPr>
              <w:pStyle w:val="BodyText"/>
              <w:jc w:val="center"/>
            </w:pPr>
          </w:p>
        </w:tc>
        <w:tc>
          <w:tcPr>
            <w:tcW w:w="900" w:type="dxa"/>
            <w:tcBorders>
              <w:top w:val="nil"/>
              <w:left w:val="single" w:sz="4" w:space="0" w:color="auto"/>
              <w:bottom w:val="nil"/>
              <w:right w:val="single" w:sz="4" w:space="0" w:color="auto"/>
            </w:tcBorders>
            <w:shd w:val="clear" w:color="auto" w:fill="D9D9D9" w:themeFill="background1" w:themeFillShade="D9"/>
            <w:vAlign w:val="center"/>
          </w:tcPr>
          <w:p w14:paraId="4E7E17A1" w14:textId="33829DA8" w:rsidR="00EB2163" w:rsidRDefault="00BA7EBB" w:rsidP="00BA7EBB">
            <w:pPr>
              <w:pStyle w:val="BodyText"/>
              <w:jc w:val="center"/>
            </w:pPr>
            <w:r>
              <w:t>X</w:t>
            </w:r>
          </w:p>
        </w:tc>
        <w:tc>
          <w:tcPr>
            <w:tcW w:w="940" w:type="dxa"/>
            <w:tcBorders>
              <w:top w:val="nil"/>
              <w:left w:val="single" w:sz="4" w:space="0" w:color="auto"/>
              <w:bottom w:val="nil"/>
              <w:right w:val="single" w:sz="4" w:space="0" w:color="auto"/>
            </w:tcBorders>
            <w:shd w:val="clear" w:color="auto" w:fill="D9D9D9" w:themeFill="background1" w:themeFillShade="D9"/>
            <w:vAlign w:val="center"/>
          </w:tcPr>
          <w:p w14:paraId="565D59BF" w14:textId="1B9E5A9F" w:rsidR="00EB2163" w:rsidRDefault="00EB2163" w:rsidP="00BA7EBB">
            <w:pPr>
              <w:pStyle w:val="BodyText"/>
              <w:jc w:val="center"/>
            </w:pPr>
          </w:p>
        </w:tc>
      </w:tr>
      <w:tr w:rsidR="00BA7EBB" w14:paraId="004706D5" w14:textId="77777777" w:rsidTr="00BA7EBB">
        <w:tc>
          <w:tcPr>
            <w:tcW w:w="5120" w:type="dxa"/>
            <w:tcBorders>
              <w:top w:val="nil"/>
              <w:left w:val="single" w:sz="4" w:space="0" w:color="auto"/>
              <w:bottom w:val="nil"/>
              <w:right w:val="single" w:sz="4" w:space="0" w:color="auto"/>
            </w:tcBorders>
            <w:shd w:val="clear" w:color="auto" w:fill="D9D9D9" w:themeFill="background1" w:themeFillShade="D9"/>
          </w:tcPr>
          <w:p w14:paraId="7C98F5DF" w14:textId="3FDDC1EA" w:rsidR="00BA7EBB" w:rsidRDefault="00BA7EBB" w:rsidP="00B2655A">
            <w:pPr>
              <w:pStyle w:val="BodyText"/>
            </w:pPr>
            <w:r>
              <w:t>Prior conviction (misdemeanor or felony)</w:t>
            </w:r>
          </w:p>
        </w:tc>
        <w:tc>
          <w:tcPr>
            <w:tcW w:w="720" w:type="dxa"/>
            <w:tcBorders>
              <w:top w:val="nil"/>
              <w:left w:val="single" w:sz="4" w:space="0" w:color="auto"/>
              <w:bottom w:val="nil"/>
              <w:right w:val="single" w:sz="4" w:space="0" w:color="auto"/>
            </w:tcBorders>
            <w:shd w:val="clear" w:color="auto" w:fill="D9D9D9" w:themeFill="background1" w:themeFillShade="D9"/>
            <w:vAlign w:val="center"/>
          </w:tcPr>
          <w:p w14:paraId="131D69B5" w14:textId="0E397FC9" w:rsidR="00BA7EBB" w:rsidRDefault="00BA7EBB" w:rsidP="00BA7EBB">
            <w:pPr>
              <w:pStyle w:val="BodyText"/>
              <w:jc w:val="center"/>
            </w:pPr>
            <w:r>
              <w:t>X</w:t>
            </w:r>
          </w:p>
        </w:tc>
        <w:tc>
          <w:tcPr>
            <w:tcW w:w="900" w:type="dxa"/>
            <w:tcBorders>
              <w:top w:val="nil"/>
              <w:left w:val="single" w:sz="4" w:space="0" w:color="auto"/>
              <w:bottom w:val="nil"/>
              <w:right w:val="single" w:sz="4" w:space="0" w:color="auto"/>
            </w:tcBorders>
            <w:shd w:val="clear" w:color="auto" w:fill="D9D9D9" w:themeFill="background1" w:themeFillShade="D9"/>
            <w:vAlign w:val="center"/>
          </w:tcPr>
          <w:p w14:paraId="6A6D0005" w14:textId="77777777" w:rsidR="00BA7EBB" w:rsidRDefault="00BA7EBB" w:rsidP="00BA7EBB">
            <w:pPr>
              <w:pStyle w:val="BodyText"/>
              <w:jc w:val="center"/>
            </w:pPr>
          </w:p>
        </w:tc>
        <w:tc>
          <w:tcPr>
            <w:tcW w:w="940" w:type="dxa"/>
            <w:tcBorders>
              <w:top w:val="nil"/>
              <w:left w:val="single" w:sz="4" w:space="0" w:color="auto"/>
              <w:bottom w:val="nil"/>
              <w:right w:val="single" w:sz="4" w:space="0" w:color="auto"/>
            </w:tcBorders>
            <w:shd w:val="clear" w:color="auto" w:fill="D9D9D9" w:themeFill="background1" w:themeFillShade="D9"/>
            <w:vAlign w:val="center"/>
          </w:tcPr>
          <w:p w14:paraId="72A6B3A7" w14:textId="4EE7F3D9" w:rsidR="00BA7EBB" w:rsidRDefault="00BA7EBB" w:rsidP="00BA7EBB">
            <w:pPr>
              <w:pStyle w:val="BodyText"/>
              <w:jc w:val="center"/>
            </w:pPr>
            <w:r>
              <w:t>X</w:t>
            </w:r>
          </w:p>
        </w:tc>
      </w:tr>
      <w:tr w:rsidR="00BA7EBB" w14:paraId="12B6A662" w14:textId="77777777" w:rsidTr="00BA7EBB">
        <w:tc>
          <w:tcPr>
            <w:tcW w:w="5120" w:type="dxa"/>
            <w:tcBorders>
              <w:top w:val="nil"/>
              <w:left w:val="single" w:sz="4" w:space="0" w:color="auto"/>
              <w:bottom w:val="nil"/>
              <w:right w:val="single" w:sz="4" w:space="0" w:color="auto"/>
            </w:tcBorders>
          </w:tcPr>
          <w:p w14:paraId="4501F760" w14:textId="0CEA69E7" w:rsidR="00EB2163" w:rsidRDefault="00BA7EBB" w:rsidP="00B2655A">
            <w:pPr>
              <w:pStyle w:val="BodyText"/>
            </w:pPr>
            <w:r>
              <w:t>6. Prior violent conviction</w:t>
            </w:r>
          </w:p>
        </w:tc>
        <w:tc>
          <w:tcPr>
            <w:tcW w:w="720" w:type="dxa"/>
            <w:tcBorders>
              <w:top w:val="nil"/>
              <w:left w:val="single" w:sz="4" w:space="0" w:color="auto"/>
              <w:bottom w:val="nil"/>
              <w:right w:val="single" w:sz="4" w:space="0" w:color="auto"/>
            </w:tcBorders>
            <w:vAlign w:val="center"/>
          </w:tcPr>
          <w:p w14:paraId="777C0233" w14:textId="77777777" w:rsidR="00EB2163" w:rsidRDefault="00EB2163" w:rsidP="00BA7EBB">
            <w:pPr>
              <w:pStyle w:val="BodyText"/>
              <w:jc w:val="center"/>
            </w:pPr>
          </w:p>
        </w:tc>
        <w:tc>
          <w:tcPr>
            <w:tcW w:w="900" w:type="dxa"/>
            <w:tcBorders>
              <w:top w:val="nil"/>
              <w:left w:val="single" w:sz="4" w:space="0" w:color="auto"/>
              <w:bottom w:val="nil"/>
              <w:right w:val="single" w:sz="4" w:space="0" w:color="auto"/>
            </w:tcBorders>
            <w:vAlign w:val="center"/>
          </w:tcPr>
          <w:p w14:paraId="6B6D670B" w14:textId="17ED6D7B" w:rsidR="00EB2163" w:rsidRDefault="00BA7EBB" w:rsidP="00BA7EBB">
            <w:pPr>
              <w:pStyle w:val="BodyText"/>
              <w:jc w:val="center"/>
            </w:pPr>
            <w:r>
              <w:t>X</w:t>
            </w:r>
          </w:p>
        </w:tc>
        <w:tc>
          <w:tcPr>
            <w:tcW w:w="940" w:type="dxa"/>
            <w:tcBorders>
              <w:top w:val="nil"/>
              <w:left w:val="single" w:sz="4" w:space="0" w:color="auto"/>
              <w:bottom w:val="nil"/>
              <w:right w:val="single" w:sz="4" w:space="0" w:color="auto"/>
            </w:tcBorders>
            <w:vAlign w:val="center"/>
          </w:tcPr>
          <w:p w14:paraId="5F170F66" w14:textId="0A8DC1C2" w:rsidR="00EB2163" w:rsidRDefault="00BA7EBB" w:rsidP="00BA7EBB">
            <w:pPr>
              <w:pStyle w:val="BodyText"/>
              <w:jc w:val="center"/>
            </w:pPr>
            <w:r>
              <w:t>X</w:t>
            </w:r>
          </w:p>
        </w:tc>
      </w:tr>
      <w:tr w:rsidR="00BA7EBB" w14:paraId="559919AF" w14:textId="77777777" w:rsidTr="00BA7EBB">
        <w:tc>
          <w:tcPr>
            <w:tcW w:w="5120" w:type="dxa"/>
            <w:tcBorders>
              <w:top w:val="nil"/>
              <w:left w:val="single" w:sz="4" w:space="0" w:color="auto"/>
              <w:bottom w:val="nil"/>
              <w:right w:val="single" w:sz="4" w:space="0" w:color="auto"/>
            </w:tcBorders>
          </w:tcPr>
          <w:p w14:paraId="284FBF9F" w14:textId="406FB7FE" w:rsidR="00BA7EBB" w:rsidRDefault="00BA7EBB" w:rsidP="00B2655A">
            <w:pPr>
              <w:pStyle w:val="BodyText"/>
            </w:pPr>
            <w:r>
              <w:t>7. Prior failure to appear in the past two years</w:t>
            </w:r>
          </w:p>
        </w:tc>
        <w:tc>
          <w:tcPr>
            <w:tcW w:w="720" w:type="dxa"/>
            <w:tcBorders>
              <w:top w:val="nil"/>
              <w:left w:val="single" w:sz="4" w:space="0" w:color="auto"/>
              <w:bottom w:val="nil"/>
              <w:right w:val="single" w:sz="4" w:space="0" w:color="auto"/>
            </w:tcBorders>
            <w:vAlign w:val="center"/>
          </w:tcPr>
          <w:p w14:paraId="1676FD0C" w14:textId="18F260C5" w:rsidR="00BA7EBB" w:rsidRDefault="00BA7EBB" w:rsidP="00BA7EBB">
            <w:pPr>
              <w:pStyle w:val="BodyText"/>
              <w:jc w:val="center"/>
            </w:pPr>
            <w:r>
              <w:t>X</w:t>
            </w:r>
          </w:p>
        </w:tc>
        <w:tc>
          <w:tcPr>
            <w:tcW w:w="900" w:type="dxa"/>
            <w:tcBorders>
              <w:top w:val="nil"/>
              <w:left w:val="single" w:sz="4" w:space="0" w:color="auto"/>
              <w:bottom w:val="nil"/>
              <w:right w:val="single" w:sz="4" w:space="0" w:color="auto"/>
            </w:tcBorders>
            <w:vAlign w:val="center"/>
          </w:tcPr>
          <w:p w14:paraId="6DD6775E" w14:textId="257722B6" w:rsidR="00BA7EBB" w:rsidRDefault="00BA7EBB" w:rsidP="00BA7EBB">
            <w:pPr>
              <w:pStyle w:val="BodyText"/>
              <w:jc w:val="center"/>
            </w:pPr>
            <w:r>
              <w:t>X</w:t>
            </w:r>
          </w:p>
        </w:tc>
        <w:tc>
          <w:tcPr>
            <w:tcW w:w="940" w:type="dxa"/>
            <w:tcBorders>
              <w:top w:val="nil"/>
              <w:left w:val="single" w:sz="4" w:space="0" w:color="auto"/>
              <w:bottom w:val="nil"/>
              <w:right w:val="single" w:sz="4" w:space="0" w:color="auto"/>
            </w:tcBorders>
            <w:vAlign w:val="center"/>
          </w:tcPr>
          <w:p w14:paraId="57AE5253" w14:textId="77777777" w:rsidR="00BA7EBB" w:rsidRDefault="00BA7EBB" w:rsidP="00BA7EBB">
            <w:pPr>
              <w:pStyle w:val="BodyText"/>
              <w:jc w:val="center"/>
            </w:pPr>
          </w:p>
        </w:tc>
      </w:tr>
      <w:tr w:rsidR="00BA7EBB" w14:paraId="109F2061" w14:textId="77777777" w:rsidTr="00BA7EBB">
        <w:tc>
          <w:tcPr>
            <w:tcW w:w="5120" w:type="dxa"/>
            <w:tcBorders>
              <w:top w:val="nil"/>
              <w:left w:val="single" w:sz="4" w:space="0" w:color="auto"/>
              <w:bottom w:val="nil"/>
              <w:right w:val="single" w:sz="4" w:space="0" w:color="auto"/>
            </w:tcBorders>
          </w:tcPr>
          <w:p w14:paraId="4F03EF1E" w14:textId="43A9DB24" w:rsidR="00BA7EBB" w:rsidRDefault="00BA7EBB" w:rsidP="00B2655A">
            <w:pPr>
              <w:pStyle w:val="BodyText"/>
            </w:pPr>
            <w:r>
              <w:t>8. Prior failure to appear older than two years</w:t>
            </w:r>
          </w:p>
        </w:tc>
        <w:tc>
          <w:tcPr>
            <w:tcW w:w="720" w:type="dxa"/>
            <w:tcBorders>
              <w:top w:val="nil"/>
              <w:left w:val="single" w:sz="4" w:space="0" w:color="auto"/>
              <w:bottom w:val="nil"/>
              <w:right w:val="single" w:sz="4" w:space="0" w:color="auto"/>
            </w:tcBorders>
            <w:vAlign w:val="center"/>
          </w:tcPr>
          <w:p w14:paraId="64F93E3E" w14:textId="6648CCDE" w:rsidR="00BA7EBB" w:rsidRDefault="00BA7EBB" w:rsidP="00BA7EBB">
            <w:pPr>
              <w:pStyle w:val="BodyText"/>
              <w:jc w:val="center"/>
            </w:pPr>
            <w:r>
              <w:t>X</w:t>
            </w:r>
          </w:p>
        </w:tc>
        <w:tc>
          <w:tcPr>
            <w:tcW w:w="900" w:type="dxa"/>
            <w:tcBorders>
              <w:top w:val="nil"/>
              <w:left w:val="single" w:sz="4" w:space="0" w:color="auto"/>
              <w:bottom w:val="nil"/>
              <w:right w:val="single" w:sz="4" w:space="0" w:color="auto"/>
            </w:tcBorders>
            <w:vAlign w:val="center"/>
          </w:tcPr>
          <w:p w14:paraId="48D5C363" w14:textId="77777777" w:rsidR="00BA7EBB" w:rsidRDefault="00BA7EBB" w:rsidP="00BA7EBB">
            <w:pPr>
              <w:pStyle w:val="BodyText"/>
              <w:jc w:val="center"/>
            </w:pPr>
          </w:p>
        </w:tc>
        <w:tc>
          <w:tcPr>
            <w:tcW w:w="940" w:type="dxa"/>
            <w:tcBorders>
              <w:top w:val="nil"/>
              <w:left w:val="single" w:sz="4" w:space="0" w:color="auto"/>
              <w:bottom w:val="nil"/>
              <w:right w:val="single" w:sz="4" w:space="0" w:color="auto"/>
            </w:tcBorders>
            <w:vAlign w:val="center"/>
          </w:tcPr>
          <w:p w14:paraId="4BB59843" w14:textId="77777777" w:rsidR="00BA7EBB" w:rsidRDefault="00BA7EBB" w:rsidP="00BA7EBB">
            <w:pPr>
              <w:pStyle w:val="BodyText"/>
              <w:jc w:val="center"/>
            </w:pPr>
          </w:p>
        </w:tc>
      </w:tr>
      <w:tr w:rsidR="00BA7EBB" w14:paraId="004239C5" w14:textId="77777777" w:rsidTr="00BA7EBB">
        <w:tc>
          <w:tcPr>
            <w:tcW w:w="5120" w:type="dxa"/>
            <w:tcBorders>
              <w:top w:val="nil"/>
              <w:left w:val="single" w:sz="4" w:space="0" w:color="auto"/>
              <w:bottom w:val="single" w:sz="4" w:space="0" w:color="auto"/>
              <w:right w:val="single" w:sz="4" w:space="0" w:color="auto"/>
            </w:tcBorders>
          </w:tcPr>
          <w:p w14:paraId="311D82E0" w14:textId="07AEF324" w:rsidR="00BA7EBB" w:rsidRDefault="00BA7EBB" w:rsidP="00B2655A">
            <w:pPr>
              <w:pStyle w:val="BodyText"/>
            </w:pPr>
            <w:r>
              <w:t>9. Prior sentence to incarceration</w:t>
            </w:r>
          </w:p>
        </w:tc>
        <w:tc>
          <w:tcPr>
            <w:tcW w:w="720" w:type="dxa"/>
            <w:tcBorders>
              <w:top w:val="nil"/>
              <w:left w:val="single" w:sz="4" w:space="0" w:color="auto"/>
              <w:bottom w:val="single" w:sz="4" w:space="0" w:color="auto"/>
              <w:right w:val="single" w:sz="4" w:space="0" w:color="auto"/>
            </w:tcBorders>
            <w:vAlign w:val="center"/>
          </w:tcPr>
          <w:p w14:paraId="54329208" w14:textId="77777777" w:rsidR="00BA7EBB" w:rsidRDefault="00BA7EBB" w:rsidP="00BA7EBB">
            <w:pPr>
              <w:pStyle w:val="BodyText"/>
              <w:jc w:val="center"/>
            </w:pPr>
          </w:p>
        </w:tc>
        <w:tc>
          <w:tcPr>
            <w:tcW w:w="900" w:type="dxa"/>
            <w:tcBorders>
              <w:top w:val="nil"/>
              <w:left w:val="single" w:sz="4" w:space="0" w:color="auto"/>
              <w:bottom w:val="single" w:sz="4" w:space="0" w:color="auto"/>
              <w:right w:val="single" w:sz="4" w:space="0" w:color="auto"/>
            </w:tcBorders>
            <w:vAlign w:val="center"/>
          </w:tcPr>
          <w:p w14:paraId="331921C3" w14:textId="5DB264E0" w:rsidR="00BA7EBB" w:rsidRDefault="00BA7EBB" w:rsidP="00BA7EBB">
            <w:pPr>
              <w:pStyle w:val="BodyText"/>
              <w:jc w:val="center"/>
            </w:pPr>
            <w:r>
              <w:t>X</w:t>
            </w:r>
          </w:p>
        </w:tc>
        <w:tc>
          <w:tcPr>
            <w:tcW w:w="940" w:type="dxa"/>
            <w:tcBorders>
              <w:top w:val="nil"/>
              <w:left w:val="single" w:sz="4" w:space="0" w:color="auto"/>
              <w:bottom w:val="single" w:sz="4" w:space="0" w:color="auto"/>
              <w:right w:val="single" w:sz="4" w:space="0" w:color="auto"/>
            </w:tcBorders>
            <w:vAlign w:val="center"/>
          </w:tcPr>
          <w:p w14:paraId="6630FC0C" w14:textId="77777777" w:rsidR="00BA7EBB" w:rsidRDefault="00BA7EBB" w:rsidP="00BA7EBB">
            <w:pPr>
              <w:pStyle w:val="BodyText"/>
              <w:jc w:val="center"/>
            </w:pPr>
          </w:p>
        </w:tc>
      </w:tr>
      <w:tr w:rsidR="00BA7EBB" w14:paraId="5B99CD7A" w14:textId="77777777" w:rsidTr="00BA7EBB">
        <w:tc>
          <w:tcPr>
            <w:tcW w:w="7680" w:type="dxa"/>
            <w:gridSpan w:val="4"/>
            <w:tcBorders>
              <w:top w:val="single" w:sz="4" w:space="0" w:color="auto"/>
              <w:left w:val="nil"/>
              <w:bottom w:val="nil"/>
              <w:right w:val="nil"/>
            </w:tcBorders>
          </w:tcPr>
          <w:p w14:paraId="5447A535" w14:textId="71900F02" w:rsidR="00BA7EBB" w:rsidRDefault="00BA7EBB" w:rsidP="00B2655A">
            <w:pPr>
              <w:pStyle w:val="BodyText"/>
            </w:pPr>
            <w:r>
              <w:t>Note: Boxes where an “X” occurs indicate that the presence of a risk factor increases the likelihood of that outcome for a given defendant. The PSA relies solely on the above nine variables. It does not rely on factors such as race, ethnicity, or geography.</w:t>
            </w:r>
          </w:p>
        </w:tc>
      </w:tr>
    </w:tbl>
    <w:p w14:paraId="7878CBD0" w14:textId="2DF9B02C" w:rsidR="005F5B90" w:rsidRDefault="005F5B90" w:rsidP="00B2655A">
      <w:pPr>
        <w:pStyle w:val="BodyText"/>
        <w:rPr>
          <w:b/>
        </w:rPr>
      </w:pPr>
      <w:r>
        <w:rPr>
          <w:b/>
        </w:rPr>
        <w:t xml:space="preserve">Montana Public Safety Assessment Risk </w:t>
      </w:r>
      <w:r w:rsidR="00784FBA">
        <w:rPr>
          <w:b/>
        </w:rPr>
        <w:t>Factor</w:t>
      </w:r>
      <w:r>
        <w:rPr>
          <w:b/>
        </w:rPr>
        <w:t xml:space="preserve"> </w:t>
      </w:r>
      <w:r w:rsidR="005F577B">
        <w:rPr>
          <w:b/>
        </w:rPr>
        <w:t>Definitions</w:t>
      </w:r>
    </w:p>
    <w:p w14:paraId="5DD607F7" w14:textId="60A97F7B" w:rsidR="00784FBA" w:rsidRDefault="00EB237B" w:rsidP="00B2655A">
      <w:pPr>
        <w:pStyle w:val="BodyText"/>
      </w:pPr>
      <w:r>
        <w:t xml:space="preserve">The Public Safety Assessment (PSA) is a pretrial risk assessment that uses nine risk factors to assess the risk of new criminal activity (NCA), including new violent criminal activity (NVCA), and failure to appear (FTA) pending case disposition. The assessment is intended to be used to assess the risk of NCA, NVCA, and FTA for defendants who have been arrested in the community and are pending the disposition of their cases. The </w:t>
      </w:r>
      <w:r>
        <w:lastRenderedPageBreak/>
        <w:t>PSA is not intended to be used for defendants who are charged with an offense while already incarcerated (e.g., an inmate assaults a corrections officer or another inmate).</w:t>
      </w:r>
    </w:p>
    <w:p w14:paraId="7C9B150F" w14:textId="7A81CD2F" w:rsidR="00EB237B" w:rsidRPr="00EB237B" w:rsidRDefault="00EB237B" w:rsidP="00B2655A">
      <w:pPr>
        <w:pStyle w:val="BodyText"/>
      </w:pPr>
      <w:r>
        <w:t>All pretrial risk factors are answered based on the defendant’s adult criminal history. Juvenile records are not considered when completing the assessment. In addition, all criminal history and failure to appear related factors include only traffic and criminal charges that carry a potential penalty of incarceration (jail or prison). Charges that carry a potential penalty of incarceration (jail or prison) are those for which the statute allows for a sentence of incarceration upon conviction.</w:t>
      </w:r>
    </w:p>
    <w:p w14:paraId="76FC7C0C" w14:textId="618C71D1" w:rsidR="00784FBA" w:rsidRDefault="00EB237B" w:rsidP="00B2655A">
      <w:pPr>
        <w:pStyle w:val="BodyText"/>
      </w:pPr>
      <w:r>
        <w:rPr>
          <w:b/>
        </w:rPr>
        <w:t>RISK FACTORS</w:t>
      </w:r>
    </w:p>
    <w:p w14:paraId="63F73A7C" w14:textId="06DEEB03" w:rsidR="00EB237B" w:rsidRDefault="00EB237B" w:rsidP="00B2655A">
      <w:pPr>
        <w:pStyle w:val="BodyText"/>
      </w:pPr>
      <w:r>
        <w:t>1. AGE AT CURRENT ARREST</w:t>
      </w:r>
    </w:p>
    <w:p w14:paraId="63BA8DCD" w14:textId="04D4492F" w:rsidR="00EB237B" w:rsidRDefault="001F6068" w:rsidP="00B2655A">
      <w:pPr>
        <w:pStyle w:val="BodyText"/>
      </w:pPr>
      <w:r>
        <w:t>Document the defendant’s age in years at the time of the current arrest. If there was not an arrest or the arrest date is unknown, use the defendant’s age at the time the PSA was completed. Based on the defendant’s age at current arrest, answer whether the defendant is 20 or younger, 21 or 22, or 23 or older.</w:t>
      </w:r>
    </w:p>
    <w:p w14:paraId="0B3ED73F" w14:textId="58AD2592" w:rsidR="001F6068" w:rsidRDefault="001F6068" w:rsidP="00B2655A">
      <w:pPr>
        <w:pStyle w:val="BodyText"/>
      </w:pPr>
      <w:r>
        <w:t>2. CURRENT VIOLENT OFFENSE</w:t>
      </w:r>
    </w:p>
    <w:p w14:paraId="5F083384" w14:textId="42FBA1BA" w:rsidR="001F6068" w:rsidRDefault="001F6068" w:rsidP="00B2655A">
      <w:pPr>
        <w:pStyle w:val="BodyText"/>
      </w:pPr>
      <w:r>
        <w:t xml:space="preserve">Generally, offenses are considered violent when a person </w:t>
      </w:r>
      <w:r w:rsidR="000A4CF3">
        <w:t>causes</w:t>
      </w:r>
      <w:r>
        <w:t xml:space="preserve"> or attempts to cause physical injury to another person. The most common violent offenses include the following: Murder, Homicide, Manslaughter, Kidnapping, Abduction, Robbery, Carjacking, Assault </w:t>
      </w:r>
      <w:r w:rsidR="009F295B">
        <w:t>involving physical injury inclu</w:t>
      </w:r>
      <w:r>
        <w:t>ding Domestic Assault (misdemeanor or felony), and person to person related Sex Offenses (e.g., Rape, Sexual Assault/Battery, Indecent Liberties with Child, Forcible Sodomy). A charge of attempt (e.g. attempted murder, attempted rape), being an accessory before the fact, solicitation, and conspiracy to commit any of these offenses is considered a violent offense. Threats, harassment, and alike are not considered violent offenses. See the following chart for applicable Montana criminal code offenses that are considered violent for the purpose of the risk assessment. If any of the current offenses are violent, answer yes to the risk factor.</w:t>
      </w:r>
    </w:p>
    <w:p w14:paraId="1AF81C90" w14:textId="79551AC8" w:rsidR="001F6068" w:rsidRDefault="001F6068" w:rsidP="00B2655A">
      <w:pPr>
        <w:pStyle w:val="BodyText"/>
      </w:pPr>
      <w:r>
        <w:tab/>
        <w:t>2a. CURRENT VIOLENT OFFENSES &amp; 20 YEARS OLD OR YOUNGER</w:t>
      </w:r>
    </w:p>
    <w:p w14:paraId="5C991F5D" w14:textId="7EA72484" w:rsidR="001F6068" w:rsidRDefault="001F6068" w:rsidP="001F6068">
      <w:pPr>
        <w:pStyle w:val="BodyText"/>
        <w:ind w:left="720"/>
      </w:pPr>
      <w:r>
        <w:t xml:space="preserve">If one or more of the current offenses is violent as </w:t>
      </w:r>
      <w:r w:rsidR="000A4CF3">
        <w:t>defended</w:t>
      </w:r>
      <w:r>
        <w:t xml:space="preserve"> in risk factor 2 above AND the defendant was 20 or younger at the time of the arrest defined in risk factor 1 above, answer yes to this risk factor.</w:t>
      </w:r>
    </w:p>
    <w:p w14:paraId="1E230B4E" w14:textId="77777777" w:rsidR="001C13D3" w:rsidRDefault="001C13D3">
      <w:pPr>
        <w:rPr>
          <w:spacing w:val="-5"/>
          <w:sz w:val="24"/>
        </w:rPr>
      </w:pPr>
      <w:r>
        <w:br w:type="page"/>
      </w:r>
    </w:p>
    <w:p w14:paraId="1DDD67F5" w14:textId="7FF61225" w:rsidR="001F6068" w:rsidRDefault="001F6068" w:rsidP="001F6068">
      <w:pPr>
        <w:pStyle w:val="BodyText"/>
      </w:pPr>
      <w:r>
        <w:lastRenderedPageBreak/>
        <w:t>3. PENDING CHARGE AT THE TIME OF THE OFFENSE</w:t>
      </w:r>
    </w:p>
    <w:p w14:paraId="31C8EE1D" w14:textId="73B40857" w:rsidR="001F6068" w:rsidRPr="00C74CDE" w:rsidRDefault="001F6068" w:rsidP="001F6068">
      <w:pPr>
        <w:pStyle w:val="BodyText"/>
      </w:pPr>
      <w:r>
        <w:t xml:space="preserve">Pending means any charge that has a future pre-disposition related court date, </w:t>
      </w:r>
      <w:r>
        <w:rPr>
          <w:u w:val="single"/>
        </w:rPr>
        <w:t>or</w:t>
      </w:r>
      <w:r>
        <w:t xml:space="preserve"> has not been disposed of due to the defendant’s fa</w:t>
      </w:r>
      <w:r w:rsidR="00634C86">
        <w:t>i</w:t>
      </w:r>
      <w:r>
        <w:t xml:space="preserve">lure to appear, </w:t>
      </w:r>
      <w:r>
        <w:rPr>
          <w:u w:val="single"/>
        </w:rPr>
        <w:t>or</w:t>
      </w:r>
      <w:r>
        <w:t xml:space="preserve"> that is in some form of </w:t>
      </w:r>
      <w:r w:rsidRPr="00C74CDE">
        <w:t>deferred status (e.g., deferred prosecution, diversion, first offender, withheld finding, held in abeyance). Charges include any criminal or traffic offense that carries a potential penalty of incarceration (jail or prison). The pending charge must have been pending at the time of the alleged offense for the current case, which is an indication that the defendant was on some form of pretrial release when the current offense allegedly occurred. If the current arrest is for a failure to appear for a pre-disposition related court appearance, the underlying charge for the failure to appear is counted as a pending charge. If the defendant had a pending criminal or traffic charge that carrie</w:t>
      </w:r>
      <w:r w:rsidR="00634C86" w:rsidRPr="00C74CDE">
        <w:t>d</w:t>
      </w:r>
      <w:r w:rsidRPr="00C74CDE">
        <w:t xml:space="preserve"> a potential penalty of incarceration (jail or prison) at the time the current offense allegedly occurred, answer yes to this risk factor. </w:t>
      </w:r>
      <w:r w:rsidR="009533D3" w:rsidRPr="00C74CDE">
        <w:t>(Check NCIC information for pending/outstanding charges. In addition, review Montana’s Full Court system. It may be necessary to call the local court for additional information.)</w:t>
      </w:r>
    </w:p>
    <w:p w14:paraId="14B4AD09" w14:textId="4A0F4CC0" w:rsidR="001F6068" w:rsidRPr="00C74CDE" w:rsidRDefault="001F6068" w:rsidP="001F6068">
      <w:pPr>
        <w:pStyle w:val="BodyText"/>
      </w:pPr>
      <w:r w:rsidRPr="00C74CDE">
        <w:t>4. PRIOR MISDEMEANOR CONVICTION</w:t>
      </w:r>
    </w:p>
    <w:p w14:paraId="03C8D13A" w14:textId="7803A454" w:rsidR="001F6068" w:rsidRPr="00C74CDE" w:rsidRDefault="001F6068" w:rsidP="001F6068">
      <w:pPr>
        <w:pStyle w:val="BodyText"/>
        <w:rPr>
          <w:b/>
          <w:bCs/>
        </w:rPr>
      </w:pPr>
      <w:r w:rsidRPr="00C74CDE">
        <w:t>A misdemeanor includes any criminal or traffic offense defined by statute as a misdemeanor that carries a potential penalty of incarceration (jail or prison). A conviction includes any guilt plea or finding of guilt. A charge that is in some form of deferred status (</w:t>
      </w:r>
      <w:r w:rsidR="000A4CF3" w:rsidRPr="00C74CDE">
        <w:t>e.g.</w:t>
      </w:r>
      <w:r w:rsidRPr="00C74CDE">
        <w:t xml:space="preserve">, deferred prosecution, diversion, first offender, withheld finding, held in abeyance) is </w:t>
      </w:r>
      <w:r w:rsidRPr="00C74CDE">
        <w:rPr>
          <w:u w:val="single"/>
        </w:rPr>
        <w:t>not</w:t>
      </w:r>
      <w:r w:rsidR="00634C86" w:rsidRPr="00C74CDE">
        <w:t xml:space="preserve"> considered a conviction. If the defendant has pled guilty or been found guilty as an adult of one or more criminal or traffic misdemeanor offenses that carries a potential penalty of incarceration, answer yes to this risk factor.</w:t>
      </w:r>
      <w:r w:rsidR="00745DFA" w:rsidRPr="00C74CDE">
        <w:t xml:space="preserve"> </w:t>
      </w:r>
      <w:r w:rsidR="00745DFA" w:rsidRPr="00C74CDE">
        <w:rPr>
          <w:b/>
          <w:bCs/>
        </w:rPr>
        <w:t>Note:</w:t>
      </w:r>
      <w:r w:rsidR="00745DFA" w:rsidRPr="00C74CDE">
        <w:t xml:space="preserve"> </w:t>
      </w:r>
      <w:r w:rsidR="009533D3" w:rsidRPr="00C74CDE">
        <w:rPr>
          <w:b/>
          <w:bCs/>
        </w:rPr>
        <w:t>Processors should know that dismissed deferred prosecution cases should not be counted.</w:t>
      </w:r>
    </w:p>
    <w:p w14:paraId="1731D5FC" w14:textId="04057159" w:rsidR="00634C86" w:rsidRPr="00C74CDE" w:rsidRDefault="00634C86" w:rsidP="001F6068">
      <w:pPr>
        <w:pStyle w:val="BodyText"/>
      </w:pPr>
      <w:r w:rsidRPr="00C74CDE">
        <w:t>5. PRIOR FELONY CONVICTION</w:t>
      </w:r>
    </w:p>
    <w:p w14:paraId="0AD0B6E7" w14:textId="6C8E682B" w:rsidR="00634C86" w:rsidRDefault="00634C86" w:rsidP="001F6068">
      <w:pPr>
        <w:pStyle w:val="BodyText"/>
      </w:pPr>
      <w:r w:rsidRPr="00C74CDE">
        <w:t>A felony includes any criminal or traffic offense defined by statute as a felony. A conviction includes any guilty plea or finding of guilt. A charge that is in some form of deferred status (e.g., deferred prosecution, diversion, first offender, withheld finding,</w:t>
      </w:r>
      <w:r>
        <w:t xml:space="preserve"> held in abeyance) is </w:t>
      </w:r>
      <w:r>
        <w:rPr>
          <w:u w:val="single"/>
        </w:rPr>
        <w:t>not</w:t>
      </w:r>
      <w:r>
        <w:t xml:space="preserve"> considered a convi</w:t>
      </w:r>
      <w:r w:rsidR="00E35659">
        <w:t>c</w:t>
      </w:r>
      <w:r>
        <w:t>tion. If the defendant has pled guilty or been found guilty as an adult of one or more criminal or traffic felony offenses, answer yes to this risk factor.</w:t>
      </w:r>
    </w:p>
    <w:p w14:paraId="0B4E75D9" w14:textId="5ADA0BB1" w:rsidR="00634C86" w:rsidRDefault="00634C86" w:rsidP="001F6068">
      <w:pPr>
        <w:pStyle w:val="BodyText"/>
      </w:pPr>
      <w:r>
        <w:tab/>
        <w:t>5a. PRIOR CONVICTION</w:t>
      </w:r>
    </w:p>
    <w:p w14:paraId="56717D20" w14:textId="31EE6A3A" w:rsidR="00634C86" w:rsidRDefault="00634C86" w:rsidP="00634C86">
      <w:pPr>
        <w:pStyle w:val="BodyText"/>
        <w:ind w:left="720"/>
      </w:pPr>
      <w:r>
        <w:t xml:space="preserve">If the defendant has a prior misdemeanor conviction as defined in risk factor 4 above </w:t>
      </w:r>
      <w:r>
        <w:rPr>
          <w:u w:val="single"/>
        </w:rPr>
        <w:t>or</w:t>
      </w:r>
      <w:r>
        <w:t xml:space="preserve"> the defendant has a prior felony conviction defined in risk factor 5 above, answer yes to this risk factor.</w:t>
      </w:r>
    </w:p>
    <w:p w14:paraId="226E0C9D" w14:textId="13820D41" w:rsidR="00634C86" w:rsidRDefault="00634C86" w:rsidP="00634C86">
      <w:pPr>
        <w:pStyle w:val="BodyText"/>
      </w:pPr>
      <w:r>
        <w:t>6. PRIOR VIOLENT CONVICTION</w:t>
      </w:r>
    </w:p>
    <w:p w14:paraId="4F2FD916" w14:textId="3809E498" w:rsidR="00784FBA" w:rsidRDefault="009F295B" w:rsidP="00B2655A">
      <w:pPr>
        <w:pStyle w:val="BodyText"/>
      </w:pPr>
      <w:r>
        <w:t>Generally, offenses are considered violent when a person a</w:t>
      </w:r>
      <w:r w:rsidR="00E35659">
        <w:t>b</w:t>
      </w:r>
      <w:r>
        <w:t xml:space="preserve">uses or attempts to cause physical injury to another person. The most common violent offenses include the </w:t>
      </w:r>
      <w:r>
        <w:lastRenderedPageBreak/>
        <w:t xml:space="preserve">following: Murder, Homicide, Manslaughter, Kidnapping, Abduction, Robbery, Carjacking, Assault involving physical injury including Domestic Assault (misdemeanor or felony), and person to person related Sex Offenses (e.g., Rape, Sexual Assault/Battery, Indecent Liberties with Child, Forcible Sodomy). A charge of attempt (e.g. attempted murder, attempted rape), being an accessory before the fact, solicitation, and conspiracy to commit any of these offenses is considered a violent offense. Threats, harassment, and alike are not considered violent offenses. See the chart </w:t>
      </w:r>
      <w:r w:rsidR="006D2C7A">
        <w:t xml:space="preserve">on page 16 </w:t>
      </w:r>
      <w:r>
        <w:t>for applicable Montana criminal code offenses that are considered violent for the purpose of the risk assessment.</w:t>
      </w:r>
    </w:p>
    <w:p w14:paraId="0E261A48" w14:textId="1D4D5AB1" w:rsidR="00EA1723" w:rsidRPr="00745DFA" w:rsidRDefault="00EA1723" w:rsidP="00B2655A">
      <w:pPr>
        <w:pStyle w:val="BodyText"/>
        <w:rPr>
          <w:i/>
          <w:iCs/>
        </w:rPr>
      </w:pPr>
      <w:r>
        <w:t>Examine th</w:t>
      </w:r>
      <w:r w:rsidR="00E35659">
        <w:t>e</w:t>
      </w:r>
      <w:r>
        <w:t xml:space="preserve"> defendant’s adult criminal history and determine the total number of violent charges that resulted in a conviction. A conviction includes any guilty plea or finding of guilt. </w:t>
      </w:r>
      <w:r w:rsidRPr="00EB6DA2">
        <w:rPr>
          <w:b/>
          <w:bCs/>
        </w:rPr>
        <w:t>A ch</w:t>
      </w:r>
      <w:r w:rsidR="00E35659" w:rsidRPr="00EB6DA2">
        <w:rPr>
          <w:b/>
          <w:bCs/>
        </w:rPr>
        <w:t>a</w:t>
      </w:r>
      <w:r w:rsidRPr="00EB6DA2">
        <w:rPr>
          <w:b/>
          <w:bCs/>
        </w:rPr>
        <w:t>rge that is in some form of deferred status (e.g., deferred prosecution, diversion, first offender, withheld fin</w:t>
      </w:r>
      <w:r w:rsidR="00E35659" w:rsidRPr="00EB6DA2">
        <w:rPr>
          <w:b/>
          <w:bCs/>
        </w:rPr>
        <w:t>din</w:t>
      </w:r>
      <w:r w:rsidRPr="00EB6DA2">
        <w:rPr>
          <w:b/>
          <w:bCs/>
        </w:rPr>
        <w:t xml:space="preserve">g, held in abeyance) is not considered a conviction. </w:t>
      </w:r>
      <w:r>
        <w:t>Based on the total number of violent convictions</w:t>
      </w:r>
      <w:r w:rsidR="00F53C4B">
        <w:t xml:space="preserve">, answer whether the defendant had none, 1, 2, or 3 or more prior violent convictions. </w:t>
      </w:r>
      <w:r w:rsidR="00F53C4B" w:rsidRPr="00745DFA">
        <w:rPr>
          <w:b/>
          <w:bCs/>
        </w:rPr>
        <w:t>No</w:t>
      </w:r>
      <w:r w:rsidR="009533D3" w:rsidRPr="00745DFA">
        <w:rPr>
          <w:b/>
          <w:bCs/>
        </w:rPr>
        <w:t>t</w:t>
      </w:r>
      <w:r w:rsidR="00F53C4B" w:rsidRPr="00745DFA">
        <w:rPr>
          <w:b/>
          <w:bCs/>
        </w:rPr>
        <w:t>e:</w:t>
      </w:r>
      <w:r w:rsidR="00F53C4B">
        <w:t xml:space="preserve"> </w:t>
      </w:r>
      <w:r w:rsidR="00F53C4B" w:rsidRPr="00745DFA">
        <w:rPr>
          <w:b/>
          <w:bCs/>
        </w:rPr>
        <w:t>Processor needs to stop counting after 3</w:t>
      </w:r>
      <w:r w:rsidR="009533D3" w:rsidRPr="00745DFA">
        <w:rPr>
          <w:b/>
          <w:bCs/>
        </w:rPr>
        <w:t xml:space="preserve"> convictions</w:t>
      </w:r>
      <w:r w:rsidR="00F53C4B" w:rsidRPr="00745DFA">
        <w:rPr>
          <w:b/>
          <w:bCs/>
        </w:rPr>
        <w:t>.</w:t>
      </w:r>
    </w:p>
    <w:p w14:paraId="4C765E54" w14:textId="554FF34C" w:rsidR="00F53C4B" w:rsidRDefault="00F53C4B" w:rsidP="00B2655A">
      <w:pPr>
        <w:pStyle w:val="BodyText"/>
      </w:pPr>
      <w:r>
        <w:t>7. PRIOR PRETRIAL FAILURE TO APPEAR IN PAST 2 YEARS</w:t>
      </w:r>
    </w:p>
    <w:p w14:paraId="4B674F09" w14:textId="12CA2318" w:rsidR="00F53C4B" w:rsidRPr="00745DFA" w:rsidRDefault="00F53C4B" w:rsidP="00B2655A">
      <w:pPr>
        <w:pStyle w:val="BodyText"/>
        <w:rPr>
          <w:b/>
          <w:bCs/>
        </w:rPr>
      </w:pPr>
      <w:r>
        <w:t>A failure to appear includes any pre-disposition court appearance for which the defendant failed to appear and a bench warrant or capias for arrest was issued. The court appearance must be for a pending (pre-disposition) criminal or traffic offense that carries a potential penalty of incarceration (jail or prison). Post-disposition court appearances such as hearings for non-payment/failure to pay, violations of supervision and violations of other court ordered obligations are not counted.</w:t>
      </w:r>
      <w:r w:rsidR="00745DFA">
        <w:t xml:space="preserve"> </w:t>
      </w:r>
      <w:r w:rsidR="00745DFA" w:rsidRPr="00745DFA">
        <w:rPr>
          <w:b/>
          <w:bCs/>
        </w:rPr>
        <w:t>Note</w:t>
      </w:r>
      <w:r w:rsidR="00745DFA" w:rsidRPr="00DD150E">
        <w:rPr>
          <w:b/>
          <w:bCs/>
        </w:rPr>
        <w:t xml:space="preserve">, </w:t>
      </w:r>
      <w:r w:rsidR="00DD150E" w:rsidRPr="00DD150E">
        <w:rPr>
          <w:b/>
          <w:bCs/>
        </w:rPr>
        <w:t>a f</w:t>
      </w:r>
      <w:r w:rsidRPr="00DD150E">
        <w:rPr>
          <w:b/>
          <w:bCs/>
        </w:rPr>
        <w:t>ailure</w:t>
      </w:r>
      <w:r w:rsidRPr="00745DFA">
        <w:rPr>
          <w:b/>
          <w:bCs/>
        </w:rPr>
        <w:t xml:space="preserve"> to appear for a single court appearance is </w:t>
      </w:r>
      <w:r w:rsidR="00745DFA" w:rsidRPr="00745DFA">
        <w:rPr>
          <w:b/>
          <w:bCs/>
        </w:rPr>
        <w:t>counted once</w:t>
      </w:r>
      <w:r w:rsidRPr="00745DFA">
        <w:rPr>
          <w:b/>
          <w:bCs/>
        </w:rPr>
        <w:t xml:space="preserve"> regardless of the number of charges or warrants issued related to the single court appearance.</w:t>
      </w:r>
    </w:p>
    <w:p w14:paraId="6C3B605E" w14:textId="7B827B79" w:rsidR="00F53C4B" w:rsidRDefault="00F53C4B" w:rsidP="00B2655A">
      <w:pPr>
        <w:pStyle w:val="BodyText"/>
      </w:pPr>
      <w:r>
        <w:t>A failure to appear is not counted if there is confirmation that the defendant was in custody (jail or prison) when the failure to appear occurred. Examine the defendant’s adult criminal histo</w:t>
      </w:r>
      <w:r w:rsidR="00E35659">
        <w:t>r</w:t>
      </w:r>
      <w:r>
        <w:t xml:space="preserve">y and determine the total number of times in the past two years the defendant failed to appear in court for a pre-disposition related court appearance and a warrant for arrest was issued. The two-year time frame includes the </w:t>
      </w:r>
      <w:r w:rsidR="003A4F8C">
        <w:t>two-year</w:t>
      </w:r>
      <w:r>
        <w:t xml:space="preserve"> period prior to the date of the current arrest. If there was not an arrest or the arrest date is unknown, the two-year time frame includes the </w:t>
      </w:r>
      <w:r w:rsidR="003A4F8C">
        <w:t>two-year</w:t>
      </w:r>
      <w:r>
        <w:t xml:space="preserve"> period prior to the PSA completion date. Based on the total number of prior failures to appear in the past two years, answer whether the defendant had none, 1, or 2 or more prior failures to appear.</w:t>
      </w:r>
    </w:p>
    <w:p w14:paraId="06F7903B" w14:textId="515A37E3" w:rsidR="00F53C4B" w:rsidRDefault="00F53C4B" w:rsidP="00B2655A">
      <w:pPr>
        <w:pStyle w:val="BodyText"/>
      </w:pPr>
      <w:r>
        <w:t>8. PRIOR FAILURE TO APPEAR OLDER THAN 2 YEARS</w:t>
      </w:r>
    </w:p>
    <w:p w14:paraId="79A7FD3A" w14:textId="3C324CA2" w:rsidR="00784FBA" w:rsidRDefault="00F53C4B" w:rsidP="00B2655A">
      <w:pPr>
        <w:pStyle w:val="BodyText"/>
      </w:pPr>
      <w:r>
        <w:t xml:space="preserve">A failure to appear includes any pre-disposition court appearance for which the defendant failed to appear and a bench warrant or capias for arrest was issued. The court appearance must be for a pending (pre-disposition) criminal or traffic offense that carries a potential penalty of incarceration (jail or prison). Post-disposition court appearances such as hearings for non-payment/failure to pay, violations of supervision and violations of other court ordered obligations are not counted. A failure to appear for a single court </w:t>
      </w:r>
      <w:r>
        <w:lastRenderedPageBreak/>
        <w:t>appearance is counted to once regardless of the number of charges or warrants issued related to the single court appearance.</w:t>
      </w:r>
    </w:p>
    <w:p w14:paraId="70B2C7DA" w14:textId="04D93BD8" w:rsidR="00F53C4B" w:rsidRDefault="00F53C4B" w:rsidP="00B2655A">
      <w:pPr>
        <w:pStyle w:val="BodyText"/>
      </w:pPr>
      <w:r>
        <w:t>A failure to appear is not counted if there is confirmation that the defendant was in custody (jail or prison) when the failure to appear occurred. Examine the defendant’s adult criminal history and determine if the defendant failed to appear for court for a pre-disposition related court appearance and a warrant for arrest was issu</w:t>
      </w:r>
      <w:r w:rsidR="00E35659">
        <w:t>e</w:t>
      </w:r>
      <w:r>
        <w:t>d more than two years from the time of the current arrest. If there was not an arrest or the arrest date is unknown, use the PSA completion date to determine if the failure to appear for co</w:t>
      </w:r>
      <w:r w:rsidR="00E35659">
        <w:t>urt occurred more tha</w:t>
      </w:r>
      <w:r>
        <w:t>n two years from the time of the PSA completion date. If the defendant failed to appear for court</w:t>
      </w:r>
      <w:r w:rsidR="00E35659">
        <w:t xml:space="preserve"> </w:t>
      </w:r>
      <w:r>
        <w:t xml:space="preserve">and a warrant was issued for arrest more than </w:t>
      </w:r>
      <w:r w:rsidR="00E35659">
        <w:t>two years from the time of arrest or PSA completion date, answer yes to this risk factor.</w:t>
      </w:r>
    </w:p>
    <w:p w14:paraId="7A1E51A9" w14:textId="5A80E4D0" w:rsidR="00E35659" w:rsidRDefault="00E35659" w:rsidP="00B2655A">
      <w:pPr>
        <w:pStyle w:val="BodyText"/>
      </w:pPr>
      <w:r>
        <w:t>9. PRIOR SENTENCE TO INCARCERATION</w:t>
      </w:r>
    </w:p>
    <w:p w14:paraId="782FBD5F" w14:textId="7CA114DD" w:rsidR="00E35659" w:rsidRPr="00F53C4B" w:rsidRDefault="00E35659" w:rsidP="00B2655A">
      <w:pPr>
        <w:pStyle w:val="BodyText"/>
      </w:pPr>
      <w:r>
        <w:t xml:space="preserve">A sentence to incarceration includes any sentence to jail or prison of 14 days or more, imposed by a judge at the time of sentencing or re-sentencing (e.g., supervision violation hearing, revocation of suspended sentence). A sentence of 14 days or more is included only </w:t>
      </w:r>
      <w:r w:rsidR="003A4F8C">
        <w:t>if</w:t>
      </w:r>
      <w:r>
        <w:t xml:space="preserve"> it is imposed as a single sentence and not a combination of multiple lesser sentences. Incarceration in lieu of payment of fines or costs, suspended sentences, and sanctions imposed by non-judges (e.g., probation officers) are not considered sentences to incarceration. If the defendant previously received a sentence of incarceration to jail or prison of 14 days or more as a single sentence imposed by a judge, answer yes to this risk factor.</w:t>
      </w:r>
    </w:p>
    <w:p w14:paraId="3CAA8AEA" w14:textId="0FC5AFE5" w:rsidR="00784FBA" w:rsidRDefault="005F577B" w:rsidP="00B2655A">
      <w:pPr>
        <w:pStyle w:val="BodyText"/>
        <w:rPr>
          <w:b/>
        </w:rPr>
      </w:pPr>
      <w:r>
        <w:rPr>
          <w:b/>
        </w:rPr>
        <w:t>Montana’s determination of a Violent Crime</w:t>
      </w:r>
    </w:p>
    <w:p w14:paraId="1912A997" w14:textId="592E5703" w:rsidR="00EA1723" w:rsidRDefault="003A4F8C" w:rsidP="00B2655A">
      <w:pPr>
        <w:pStyle w:val="BodyText"/>
        <w:rPr>
          <w:b/>
        </w:rPr>
      </w:pPr>
      <w:r>
        <w:t>A significant</w:t>
      </w:r>
      <w:r w:rsidR="005140A7">
        <w:t xml:space="preserve"> portion of the scoring of the PSA</w:t>
      </w:r>
      <w:r w:rsidR="005F5B90">
        <w:t xml:space="preserve"> </w:t>
      </w:r>
      <w:r w:rsidR="005140A7">
        <w:t xml:space="preserve">is </w:t>
      </w:r>
      <w:r w:rsidR="005F577B">
        <w:t>determining</w:t>
      </w:r>
      <w:r w:rsidR="005140A7">
        <w:t xml:space="preserve"> if the defendant has been convicted of a violent crime</w:t>
      </w:r>
      <w:r w:rsidR="005F5B90">
        <w:t xml:space="preserve"> in the past or is currently charged with a violent crime.</w:t>
      </w:r>
      <w:r w:rsidR="005140A7">
        <w:t xml:space="preserve"> Risk factor</w:t>
      </w:r>
      <w:r w:rsidR="005F5B90">
        <w:t xml:space="preserve"># 2 </w:t>
      </w:r>
      <w:r w:rsidR="005F577B">
        <w:t>and #</w:t>
      </w:r>
      <w:r w:rsidR="005140A7">
        <w:t xml:space="preserve"> 6 of the PSA is determined by reviewing the </w:t>
      </w:r>
      <w:r w:rsidR="005F577B">
        <w:t>following</w:t>
      </w:r>
      <w:r w:rsidR="005140A7">
        <w:t xml:space="preserve"> list of agreed upon </w:t>
      </w:r>
      <w:r w:rsidR="005F5B90">
        <w:t>offenses that have been deemed to be violent.  The following list of Montana Codes meet the definition of a violent crime; “</w:t>
      </w:r>
      <w:r w:rsidR="005F5B90" w:rsidRPr="005F5B90">
        <w:rPr>
          <w:b/>
        </w:rPr>
        <w:t>A person to person offense that causes or attempts to cause physical injury.”</w:t>
      </w:r>
    </w:p>
    <w:p w14:paraId="0A461F4B" w14:textId="3F2B2BEE" w:rsidR="00D02651" w:rsidRDefault="00D02651">
      <w:pPr>
        <w:rPr>
          <w:b/>
          <w:spacing w:val="-5"/>
          <w:sz w:val="24"/>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0"/>
      </w:tblGrid>
      <w:tr w:rsidR="00E84712" w:rsidRPr="00655145" w14:paraId="66B6A98F" w14:textId="77777777" w:rsidTr="00E84712">
        <w:tc>
          <w:tcPr>
            <w:tcW w:w="7680" w:type="dxa"/>
            <w:tcBorders>
              <w:bottom w:val="single" w:sz="4" w:space="0" w:color="auto"/>
            </w:tcBorders>
          </w:tcPr>
          <w:p w14:paraId="162C93D2" w14:textId="77777777" w:rsidR="00E84712" w:rsidRDefault="00E84712" w:rsidP="0007333F">
            <w:pPr>
              <w:pStyle w:val="BodyText"/>
              <w:spacing w:after="0"/>
            </w:pPr>
            <w:r w:rsidRPr="00655145">
              <w:lastRenderedPageBreak/>
              <w:t>Table 2. Montana Cr</w:t>
            </w:r>
            <w:r w:rsidR="00384B27" w:rsidRPr="00655145">
              <w:t xml:space="preserve">iminal Code Offenses determined </w:t>
            </w:r>
            <w:r w:rsidRPr="00655145">
              <w:t>to be Violent</w:t>
            </w:r>
          </w:p>
          <w:tbl>
            <w:tblPr>
              <w:tblW w:w="7440" w:type="dxa"/>
              <w:tblLook w:val="04A0" w:firstRow="1" w:lastRow="0" w:firstColumn="1" w:lastColumn="0" w:noHBand="0" w:noVBand="1"/>
            </w:tblPr>
            <w:tblGrid>
              <w:gridCol w:w="2140"/>
              <w:gridCol w:w="5300"/>
            </w:tblGrid>
            <w:tr w:rsidR="00655145" w:rsidRPr="00655145" w14:paraId="63E1BB3B"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14:paraId="1B33D6A8" w14:textId="77777777" w:rsidR="00655145" w:rsidRPr="00655145" w:rsidRDefault="00655145" w:rsidP="00655145">
                  <w:pPr>
                    <w:rPr>
                      <w:rFonts w:ascii="Calibri" w:hAnsi="Calibri" w:cs="Calibri"/>
                      <w:b/>
                      <w:bCs/>
                      <w:sz w:val="24"/>
                      <w:szCs w:val="24"/>
                    </w:rPr>
                  </w:pPr>
                  <w:r w:rsidRPr="00655145">
                    <w:rPr>
                      <w:rFonts w:ascii="Calibri" w:hAnsi="Calibri" w:cs="Calibri"/>
                      <w:b/>
                      <w:bCs/>
                      <w:sz w:val="24"/>
                      <w:szCs w:val="24"/>
                    </w:rPr>
                    <w:t>Statute</w:t>
                  </w:r>
                </w:p>
              </w:tc>
              <w:tc>
                <w:tcPr>
                  <w:tcW w:w="5300" w:type="dxa"/>
                  <w:tcBorders>
                    <w:top w:val="single" w:sz="4" w:space="0" w:color="auto"/>
                    <w:left w:val="single" w:sz="4" w:space="0" w:color="auto"/>
                    <w:bottom w:val="single" w:sz="4" w:space="0" w:color="auto"/>
                    <w:right w:val="single" w:sz="4" w:space="0" w:color="auto"/>
                  </w:tcBorders>
                  <w:shd w:val="clear" w:color="auto" w:fill="auto"/>
                  <w:hideMark/>
                </w:tcPr>
                <w:p w14:paraId="2EBEAC38" w14:textId="77777777" w:rsidR="00655145" w:rsidRPr="00655145" w:rsidRDefault="00655145" w:rsidP="00655145">
                  <w:pPr>
                    <w:rPr>
                      <w:rFonts w:ascii="Calibri" w:hAnsi="Calibri" w:cs="Calibri"/>
                      <w:b/>
                      <w:bCs/>
                      <w:sz w:val="24"/>
                      <w:szCs w:val="24"/>
                    </w:rPr>
                  </w:pPr>
                  <w:r w:rsidRPr="00655145">
                    <w:rPr>
                      <w:rFonts w:ascii="Calibri" w:hAnsi="Calibri" w:cs="Calibri"/>
                      <w:b/>
                      <w:bCs/>
                      <w:sz w:val="24"/>
                      <w:szCs w:val="24"/>
                    </w:rPr>
                    <w:t>Description</w:t>
                  </w:r>
                </w:p>
              </w:tc>
            </w:tr>
            <w:tr w:rsidR="00655145" w:rsidRPr="00655145" w14:paraId="79F3F95B"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D9D9D9" w:fill="D9D9D9"/>
                  <w:hideMark/>
                </w:tcPr>
                <w:p w14:paraId="65D8ACEF"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45-5-102</w:t>
                  </w:r>
                </w:p>
              </w:tc>
              <w:tc>
                <w:tcPr>
                  <w:tcW w:w="5300" w:type="dxa"/>
                  <w:tcBorders>
                    <w:top w:val="single" w:sz="4" w:space="0" w:color="auto"/>
                    <w:left w:val="single" w:sz="4" w:space="0" w:color="auto"/>
                    <w:bottom w:val="single" w:sz="4" w:space="0" w:color="auto"/>
                    <w:right w:val="single" w:sz="4" w:space="0" w:color="auto"/>
                  </w:tcBorders>
                  <w:shd w:val="clear" w:color="D9D9D9" w:fill="D9D9D9"/>
                  <w:hideMark/>
                </w:tcPr>
                <w:p w14:paraId="446F393F"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Deliberate Homicide</w:t>
                  </w:r>
                </w:p>
              </w:tc>
            </w:tr>
            <w:tr w:rsidR="00655145" w:rsidRPr="00655145" w14:paraId="3DB4C8DE"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14:paraId="1FB1FF3D"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45-5-103</w:t>
                  </w:r>
                </w:p>
              </w:tc>
              <w:tc>
                <w:tcPr>
                  <w:tcW w:w="5300" w:type="dxa"/>
                  <w:tcBorders>
                    <w:top w:val="single" w:sz="4" w:space="0" w:color="auto"/>
                    <w:left w:val="single" w:sz="4" w:space="0" w:color="auto"/>
                    <w:bottom w:val="single" w:sz="4" w:space="0" w:color="auto"/>
                    <w:right w:val="single" w:sz="4" w:space="0" w:color="auto"/>
                  </w:tcBorders>
                  <w:shd w:val="clear" w:color="auto" w:fill="auto"/>
                  <w:hideMark/>
                </w:tcPr>
                <w:p w14:paraId="0A997F49" w14:textId="77777777" w:rsidR="00655145" w:rsidRPr="00655145" w:rsidRDefault="00655145" w:rsidP="00655145">
                  <w:pPr>
                    <w:rPr>
                      <w:rFonts w:ascii="Calibri" w:hAnsi="Calibri" w:cs="Calibri"/>
                      <w:sz w:val="24"/>
                      <w:szCs w:val="24"/>
                    </w:rPr>
                  </w:pPr>
                  <w:r w:rsidRPr="00655145">
                    <w:rPr>
                      <w:rFonts w:ascii="Calibri" w:hAnsi="Calibri" w:cs="Calibri"/>
                      <w:sz w:val="24"/>
                      <w:szCs w:val="24"/>
                    </w:rPr>
                    <w:t>Mitigated Deliberate Homicide</w:t>
                  </w:r>
                </w:p>
              </w:tc>
            </w:tr>
            <w:tr w:rsidR="00655145" w:rsidRPr="00655145" w14:paraId="10CD2BA7"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D9D9D9" w:fill="D9D9D9"/>
                  <w:hideMark/>
                </w:tcPr>
                <w:p w14:paraId="5B8AD313"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45-5-106</w:t>
                  </w:r>
                </w:p>
              </w:tc>
              <w:tc>
                <w:tcPr>
                  <w:tcW w:w="5300" w:type="dxa"/>
                  <w:tcBorders>
                    <w:top w:val="single" w:sz="4" w:space="0" w:color="auto"/>
                    <w:left w:val="single" w:sz="4" w:space="0" w:color="auto"/>
                    <w:bottom w:val="single" w:sz="4" w:space="0" w:color="auto"/>
                    <w:right w:val="single" w:sz="4" w:space="0" w:color="auto"/>
                  </w:tcBorders>
                  <w:shd w:val="clear" w:color="D9D9D9" w:fill="D9D9D9"/>
                  <w:hideMark/>
                </w:tcPr>
                <w:p w14:paraId="77D0655A"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 xml:space="preserve">Vehicular Homicide While Under the Influence </w:t>
                  </w:r>
                </w:p>
              </w:tc>
            </w:tr>
            <w:tr w:rsidR="00655145" w:rsidRPr="00655145" w14:paraId="1DF1D4E7"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14:paraId="2A10662F"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45-5-201</w:t>
                  </w:r>
                </w:p>
              </w:tc>
              <w:tc>
                <w:tcPr>
                  <w:tcW w:w="5300" w:type="dxa"/>
                  <w:tcBorders>
                    <w:top w:val="single" w:sz="4" w:space="0" w:color="auto"/>
                    <w:left w:val="single" w:sz="4" w:space="0" w:color="auto"/>
                    <w:bottom w:val="single" w:sz="4" w:space="0" w:color="auto"/>
                    <w:right w:val="single" w:sz="4" w:space="0" w:color="auto"/>
                  </w:tcBorders>
                  <w:shd w:val="clear" w:color="auto" w:fill="auto"/>
                  <w:hideMark/>
                </w:tcPr>
                <w:p w14:paraId="522CDB9C"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Assault</w:t>
                  </w:r>
                </w:p>
              </w:tc>
            </w:tr>
            <w:tr w:rsidR="00655145" w:rsidRPr="00655145" w14:paraId="019D21FC"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D9D9D9" w:fill="D9D9D9"/>
                  <w:hideMark/>
                </w:tcPr>
                <w:p w14:paraId="6181649A"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45-5-202</w:t>
                  </w:r>
                </w:p>
              </w:tc>
              <w:tc>
                <w:tcPr>
                  <w:tcW w:w="5300" w:type="dxa"/>
                  <w:tcBorders>
                    <w:top w:val="single" w:sz="4" w:space="0" w:color="auto"/>
                    <w:left w:val="single" w:sz="4" w:space="0" w:color="auto"/>
                    <w:bottom w:val="single" w:sz="4" w:space="0" w:color="auto"/>
                    <w:right w:val="single" w:sz="4" w:space="0" w:color="auto"/>
                  </w:tcBorders>
                  <w:shd w:val="clear" w:color="D9D9D9" w:fill="D9D9D9"/>
                  <w:hideMark/>
                </w:tcPr>
                <w:p w14:paraId="3BFD5B1C"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Aggravated Assault</w:t>
                  </w:r>
                </w:p>
              </w:tc>
            </w:tr>
            <w:tr w:rsidR="00655145" w:rsidRPr="00655145" w14:paraId="358B4904"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14:paraId="042D67BD"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45-5-204 (1) (a)</w:t>
                  </w:r>
                </w:p>
              </w:tc>
              <w:tc>
                <w:tcPr>
                  <w:tcW w:w="5300" w:type="dxa"/>
                  <w:tcBorders>
                    <w:top w:val="single" w:sz="4" w:space="0" w:color="auto"/>
                    <w:left w:val="single" w:sz="4" w:space="0" w:color="auto"/>
                    <w:bottom w:val="single" w:sz="4" w:space="0" w:color="auto"/>
                    <w:right w:val="single" w:sz="4" w:space="0" w:color="auto"/>
                  </w:tcBorders>
                  <w:shd w:val="clear" w:color="auto" w:fill="auto"/>
                  <w:hideMark/>
                </w:tcPr>
                <w:p w14:paraId="5CF17110"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 xml:space="preserve">Mistreating Prisoners </w:t>
                  </w:r>
                </w:p>
              </w:tc>
            </w:tr>
            <w:tr w:rsidR="00655145" w:rsidRPr="00655145" w14:paraId="11B93D1C"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D9D9D9" w:fill="D9D9D9"/>
                  <w:hideMark/>
                </w:tcPr>
                <w:p w14:paraId="3B7CDCA5"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45-5-206</w:t>
                  </w:r>
                </w:p>
              </w:tc>
              <w:tc>
                <w:tcPr>
                  <w:tcW w:w="5300" w:type="dxa"/>
                  <w:tcBorders>
                    <w:top w:val="single" w:sz="4" w:space="0" w:color="auto"/>
                    <w:left w:val="single" w:sz="4" w:space="0" w:color="auto"/>
                    <w:bottom w:val="single" w:sz="4" w:space="0" w:color="auto"/>
                    <w:right w:val="single" w:sz="4" w:space="0" w:color="auto"/>
                  </w:tcBorders>
                  <w:shd w:val="clear" w:color="D9D9D9" w:fill="D9D9D9"/>
                  <w:hideMark/>
                </w:tcPr>
                <w:p w14:paraId="402976A4"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 xml:space="preserve">Partner or Family Member Assault - Penalty </w:t>
                  </w:r>
                </w:p>
              </w:tc>
            </w:tr>
            <w:tr w:rsidR="00655145" w:rsidRPr="00655145" w14:paraId="28F875F7"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14:paraId="0A6A123F"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45-5-210</w:t>
                  </w:r>
                </w:p>
              </w:tc>
              <w:tc>
                <w:tcPr>
                  <w:tcW w:w="5300" w:type="dxa"/>
                  <w:tcBorders>
                    <w:top w:val="single" w:sz="4" w:space="0" w:color="auto"/>
                    <w:left w:val="single" w:sz="4" w:space="0" w:color="auto"/>
                    <w:bottom w:val="single" w:sz="4" w:space="0" w:color="auto"/>
                    <w:right w:val="single" w:sz="4" w:space="0" w:color="auto"/>
                  </w:tcBorders>
                  <w:shd w:val="clear" w:color="auto" w:fill="auto"/>
                  <w:hideMark/>
                </w:tcPr>
                <w:p w14:paraId="224AC1C5"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Assault on Peace Officer or Judicial Officer</w:t>
                  </w:r>
                </w:p>
              </w:tc>
            </w:tr>
            <w:tr w:rsidR="00655145" w:rsidRPr="00655145" w14:paraId="124DF832"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D9D9D9" w:fill="D9D9D9"/>
                  <w:hideMark/>
                </w:tcPr>
                <w:p w14:paraId="5ED23E93"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45-5-211</w:t>
                  </w:r>
                </w:p>
              </w:tc>
              <w:tc>
                <w:tcPr>
                  <w:tcW w:w="5300" w:type="dxa"/>
                  <w:tcBorders>
                    <w:top w:val="single" w:sz="4" w:space="0" w:color="auto"/>
                    <w:left w:val="single" w:sz="4" w:space="0" w:color="auto"/>
                    <w:bottom w:val="single" w:sz="4" w:space="0" w:color="auto"/>
                    <w:right w:val="single" w:sz="4" w:space="0" w:color="auto"/>
                  </w:tcBorders>
                  <w:shd w:val="clear" w:color="D9D9D9" w:fill="D9D9D9"/>
                  <w:hideMark/>
                </w:tcPr>
                <w:p w14:paraId="42B76FEF"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Assault Upon Sports Official</w:t>
                  </w:r>
                </w:p>
              </w:tc>
            </w:tr>
            <w:tr w:rsidR="00655145" w:rsidRPr="00655145" w14:paraId="3A3B211F"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14:paraId="54375DDF"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45-5-212</w:t>
                  </w:r>
                </w:p>
              </w:tc>
              <w:tc>
                <w:tcPr>
                  <w:tcW w:w="5300" w:type="dxa"/>
                  <w:tcBorders>
                    <w:top w:val="single" w:sz="4" w:space="0" w:color="auto"/>
                    <w:left w:val="single" w:sz="4" w:space="0" w:color="auto"/>
                    <w:bottom w:val="single" w:sz="4" w:space="0" w:color="auto"/>
                    <w:right w:val="single" w:sz="4" w:space="0" w:color="auto"/>
                  </w:tcBorders>
                  <w:shd w:val="clear" w:color="auto" w:fill="auto"/>
                  <w:hideMark/>
                </w:tcPr>
                <w:p w14:paraId="6B190754"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Assault on Minor</w:t>
                  </w:r>
                </w:p>
              </w:tc>
            </w:tr>
            <w:tr w:rsidR="00655145" w:rsidRPr="00655145" w14:paraId="6A388C76"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D9D9D9" w:fill="D9D9D9"/>
                  <w:hideMark/>
                </w:tcPr>
                <w:p w14:paraId="097262A1"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45-5-213</w:t>
                  </w:r>
                </w:p>
              </w:tc>
              <w:tc>
                <w:tcPr>
                  <w:tcW w:w="5300" w:type="dxa"/>
                  <w:tcBorders>
                    <w:top w:val="single" w:sz="4" w:space="0" w:color="auto"/>
                    <w:left w:val="single" w:sz="4" w:space="0" w:color="auto"/>
                    <w:bottom w:val="single" w:sz="4" w:space="0" w:color="auto"/>
                    <w:right w:val="single" w:sz="4" w:space="0" w:color="auto"/>
                  </w:tcBorders>
                  <w:shd w:val="clear" w:color="D9D9D9" w:fill="D9D9D9"/>
                  <w:hideMark/>
                </w:tcPr>
                <w:p w14:paraId="043E6F18"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Assault with Weapon</w:t>
                  </w:r>
                </w:p>
              </w:tc>
            </w:tr>
            <w:tr w:rsidR="00655145" w:rsidRPr="00655145" w14:paraId="7B5714E2"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14:paraId="1671732C"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45-5-214</w:t>
                  </w:r>
                </w:p>
              </w:tc>
              <w:tc>
                <w:tcPr>
                  <w:tcW w:w="5300" w:type="dxa"/>
                  <w:tcBorders>
                    <w:top w:val="single" w:sz="4" w:space="0" w:color="auto"/>
                    <w:left w:val="single" w:sz="4" w:space="0" w:color="auto"/>
                    <w:bottom w:val="single" w:sz="4" w:space="0" w:color="auto"/>
                    <w:right w:val="single" w:sz="4" w:space="0" w:color="auto"/>
                  </w:tcBorders>
                  <w:shd w:val="clear" w:color="auto" w:fill="auto"/>
                  <w:hideMark/>
                </w:tcPr>
                <w:p w14:paraId="195C0C78"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Assault with Bodily Fluid</w:t>
                  </w:r>
                </w:p>
              </w:tc>
            </w:tr>
            <w:tr w:rsidR="00655145" w:rsidRPr="00655145" w14:paraId="676C6D62"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D9D9D9" w:fill="D9D9D9"/>
                  <w:hideMark/>
                </w:tcPr>
                <w:p w14:paraId="56C91245"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45-5-215</w:t>
                  </w:r>
                </w:p>
              </w:tc>
              <w:tc>
                <w:tcPr>
                  <w:tcW w:w="5300" w:type="dxa"/>
                  <w:tcBorders>
                    <w:top w:val="single" w:sz="4" w:space="0" w:color="auto"/>
                    <w:left w:val="nil"/>
                    <w:bottom w:val="single" w:sz="4" w:space="0" w:color="auto"/>
                    <w:right w:val="single" w:sz="4" w:space="0" w:color="auto"/>
                  </w:tcBorders>
                  <w:shd w:val="clear" w:color="D9D9D9" w:fill="D9D9D9"/>
                  <w:hideMark/>
                </w:tcPr>
                <w:p w14:paraId="7ACEB7C1"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Strangulation of Partner or Family Member</w:t>
                  </w:r>
                </w:p>
              </w:tc>
            </w:tr>
            <w:tr w:rsidR="00655145" w:rsidRPr="00655145" w14:paraId="0AEAE89C"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14:paraId="45AD359F"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45-5-220</w:t>
                  </w:r>
                </w:p>
              </w:tc>
              <w:tc>
                <w:tcPr>
                  <w:tcW w:w="5300" w:type="dxa"/>
                  <w:tcBorders>
                    <w:top w:val="single" w:sz="4" w:space="0" w:color="auto"/>
                    <w:left w:val="single" w:sz="4" w:space="0" w:color="auto"/>
                    <w:bottom w:val="single" w:sz="4" w:space="0" w:color="auto"/>
                    <w:right w:val="single" w:sz="4" w:space="0" w:color="auto"/>
                  </w:tcBorders>
                  <w:shd w:val="clear" w:color="auto" w:fill="auto"/>
                  <w:hideMark/>
                </w:tcPr>
                <w:p w14:paraId="20EEF99E"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 xml:space="preserve">Stalking - Exemption - Penalty </w:t>
                  </w:r>
                </w:p>
              </w:tc>
            </w:tr>
            <w:tr w:rsidR="00655145" w:rsidRPr="00655145" w14:paraId="0400BBBF" w14:textId="77777777" w:rsidTr="00655145">
              <w:trPr>
                <w:trHeight w:val="630"/>
              </w:trPr>
              <w:tc>
                <w:tcPr>
                  <w:tcW w:w="2140" w:type="dxa"/>
                  <w:tcBorders>
                    <w:top w:val="single" w:sz="4" w:space="0" w:color="auto"/>
                    <w:left w:val="single" w:sz="4" w:space="0" w:color="auto"/>
                    <w:bottom w:val="single" w:sz="4" w:space="0" w:color="auto"/>
                    <w:right w:val="single" w:sz="4" w:space="0" w:color="auto"/>
                  </w:tcBorders>
                  <w:shd w:val="clear" w:color="D9D9D9" w:fill="D9D9D9"/>
                  <w:hideMark/>
                </w:tcPr>
                <w:p w14:paraId="70EA63B6"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45-5-221 (1) (a)</w:t>
                  </w:r>
                </w:p>
              </w:tc>
              <w:tc>
                <w:tcPr>
                  <w:tcW w:w="5300" w:type="dxa"/>
                  <w:tcBorders>
                    <w:top w:val="single" w:sz="4" w:space="0" w:color="auto"/>
                    <w:left w:val="single" w:sz="4" w:space="0" w:color="auto"/>
                    <w:bottom w:val="single" w:sz="4" w:space="0" w:color="auto"/>
                    <w:right w:val="single" w:sz="4" w:space="0" w:color="auto"/>
                  </w:tcBorders>
                  <w:shd w:val="clear" w:color="D9D9D9" w:fill="D9D9D9"/>
                  <w:hideMark/>
                </w:tcPr>
                <w:p w14:paraId="6B00426A"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 xml:space="preserve">Malicious Intimidation or harassment Relating to Civil or Human Rights - Penalty  </w:t>
                  </w:r>
                </w:p>
              </w:tc>
            </w:tr>
            <w:tr w:rsidR="00655145" w:rsidRPr="00655145" w14:paraId="4BBE4BD4"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14:paraId="2B2F3CC5"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45-5-301</w:t>
                  </w:r>
                </w:p>
              </w:tc>
              <w:tc>
                <w:tcPr>
                  <w:tcW w:w="5300" w:type="dxa"/>
                  <w:tcBorders>
                    <w:top w:val="single" w:sz="4" w:space="0" w:color="auto"/>
                    <w:left w:val="single" w:sz="4" w:space="0" w:color="auto"/>
                    <w:bottom w:val="single" w:sz="4" w:space="0" w:color="auto"/>
                    <w:right w:val="single" w:sz="4" w:space="0" w:color="auto"/>
                  </w:tcBorders>
                  <w:shd w:val="clear" w:color="auto" w:fill="auto"/>
                  <w:hideMark/>
                </w:tcPr>
                <w:p w14:paraId="4E3B15C0"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Unlawful Restraint</w:t>
                  </w:r>
                </w:p>
              </w:tc>
            </w:tr>
            <w:tr w:rsidR="00655145" w:rsidRPr="00655145" w14:paraId="328674F7"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D9D9D9" w:fill="D9D9D9"/>
                  <w:hideMark/>
                </w:tcPr>
                <w:p w14:paraId="5E6FDF20"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45-5-302</w:t>
                  </w:r>
                </w:p>
              </w:tc>
              <w:tc>
                <w:tcPr>
                  <w:tcW w:w="5300" w:type="dxa"/>
                  <w:tcBorders>
                    <w:top w:val="single" w:sz="4" w:space="0" w:color="auto"/>
                    <w:left w:val="single" w:sz="4" w:space="0" w:color="auto"/>
                    <w:bottom w:val="single" w:sz="4" w:space="0" w:color="auto"/>
                    <w:right w:val="single" w:sz="4" w:space="0" w:color="auto"/>
                  </w:tcBorders>
                  <w:shd w:val="clear" w:color="D9D9D9" w:fill="D9D9D9"/>
                  <w:hideMark/>
                </w:tcPr>
                <w:p w14:paraId="04CFCA09"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Kidnapping</w:t>
                  </w:r>
                </w:p>
              </w:tc>
            </w:tr>
            <w:tr w:rsidR="00655145" w:rsidRPr="00655145" w14:paraId="267D9E29"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14:paraId="6B41FC52"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45-5-303</w:t>
                  </w:r>
                </w:p>
              </w:tc>
              <w:tc>
                <w:tcPr>
                  <w:tcW w:w="5300" w:type="dxa"/>
                  <w:tcBorders>
                    <w:top w:val="single" w:sz="4" w:space="0" w:color="auto"/>
                    <w:left w:val="single" w:sz="4" w:space="0" w:color="auto"/>
                    <w:bottom w:val="single" w:sz="4" w:space="0" w:color="auto"/>
                    <w:right w:val="single" w:sz="4" w:space="0" w:color="auto"/>
                  </w:tcBorders>
                  <w:shd w:val="clear" w:color="auto" w:fill="auto"/>
                  <w:hideMark/>
                </w:tcPr>
                <w:p w14:paraId="5D79D8C3"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Aggravated Kidnapping</w:t>
                  </w:r>
                </w:p>
              </w:tc>
            </w:tr>
            <w:tr w:rsidR="00655145" w:rsidRPr="00655145" w14:paraId="79E455B7"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D9D9D9" w:fill="D9D9D9"/>
                  <w:hideMark/>
                </w:tcPr>
                <w:p w14:paraId="3C296542"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45-5-401 (1) (a)</w:t>
                  </w:r>
                </w:p>
              </w:tc>
              <w:tc>
                <w:tcPr>
                  <w:tcW w:w="5300" w:type="dxa"/>
                  <w:tcBorders>
                    <w:top w:val="single" w:sz="4" w:space="0" w:color="auto"/>
                    <w:left w:val="single" w:sz="4" w:space="0" w:color="auto"/>
                    <w:bottom w:val="single" w:sz="4" w:space="0" w:color="auto"/>
                    <w:right w:val="single" w:sz="4" w:space="0" w:color="auto"/>
                  </w:tcBorders>
                  <w:shd w:val="clear" w:color="D9D9D9" w:fill="D9D9D9"/>
                  <w:hideMark/>
                </w:tcPr>
                <w:p w14:paraId="1B1E7111"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Robbery</w:t>
                  </w:r>
                </w:p>
              </w:tc>
            </w:tr>
            <w:tr w:rsidR="00655145" w:rsidRPr="00655145" w14:paraId="243EFB45"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14:paraId="47B944B1"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45-5-502</w:t>
                  </w:r>
                </w:p>
              </w:tc>
              <w:tc>
                <w:tcPr>
                  <w:tcW w:w="5300" w:type="dxa"/>
                  <w:tcBorders>
                    <w:top w:val="single" w:sz="4" w:space="0" w:color="auto"/>
                    <w:left w:val="single" w:sz="4" w:space="0" w:color="auto"/>
                    <w:bottom w:val="single" w:sz="4" w:space="0" w:color="auto"/>
                    <w:right w:val="single" w:sz="4" w:space="0" w:color="auto"/>
                  </w:tcBorders>
                  <w:shd w:val="clear" w:color="auto" w:fill="auto"/>
                  <w:hideMark/>
                </w:tcPr>
                <w:p w14:paraId="298D13D7"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Sexual Assault</w:t>
                  </w:r>
                </w:p>
              </w:tc>
            </w:tr>
            <w:tr w:rsidR="00655145" w:rsidRPr="00655145" w14:paraId="2B98DE9D"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D9D9D9" w:fill="D9D9D9"/>
                  <w:hideMark/>
                </w:tcPr>
                <w:p w14:paraId="1F3A4994"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45-5-503</w:t>
                  </w:r>
                </w:p>
              </w:tc>
              <w:tc>
                <w:tcPr>
                  <w:tcW w:w="5300" w:type="dxa"/>
                  <w:tcBorders>
                    <w:top w:val="single" w:sz="4" w:space="0" w:color="auto"/>
                    <w:left w:val="single" w:sz="4" w:space="0" w:color="auto"/>
                    <w:bottom w:val="single" w:sz="4" w:space="0" w:color="auto"/>
                    <w:right w:val="single" w:sz="4" w:space="0" w:color="auto"/>
                  </w:tcBorders>
                  <w:shd w:val="clear" w:color="D9D9D9" w:fill="D9D9D9"/>
                  <w:hideMark/>
                </w:tcPr>
                <w:p w14:paraId="1A257F7F"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 xml:space="preserve">Sexual Intercourse Without Consent </w:t>
                  </w:r>
                </w:p>
              </w:tc>
            </w:tr>
            <w:tr w:rsidR="00655145" w:rsidRPr="00655145" w14:paraId="757B3CAA"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14:paraId="22A0FEB6"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45-5-507</w:t>
                  </w:r>
                </w:p>
              </w:tc>
              <w:tc>
                <w:tcPr>
                  <w:tcW w:w="5300" w:type="dxa"/>
                  <w:tcBorders>
                    <w:top w:val="single" w:sz="4" w:space="0" w:color="auto"/>
                    <w:left w:val="single" w:sz="4" w:space="0" w:color="auto"/>
                    <w:bottom w:val="single" w:sz="4" w:space="0" w:color="auto"/>
                    <w:right w:val="single" w:sz="4" w:space="0" w:color="auto"/>
                  </w:tcBorders>
                  <w:shd w:val="clear" w:color="auto" w:fill="auto"/>
                  <w:hideMark/>
                </w:tcPr>
                <w:p w14:paraId="15583F25"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Incest</w:t>
                  </w:r>
                </w:p>
              </w:tc>
            </w:tr>
            <w:tr w:rsidR="00655145" w:rsidRPr="00655145" w14:paraId="66343572"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D9D9D9" w:fill="D9D9D9"/>
                  <w:hideMark/>
                </w:tcPr>
                <w:p w14:paraId="13D337E0"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45-5-601 (3)</w:t>
                  </w:r>
                </w:p>
              </w:tc>
              <w:tc>
                <w:tcPr>
                  <w:tcW w:w="5300" w:type="dxa"/>
                  <w:tcBorders>
                    <w:top w:val="single" w:sz="4" w:space="0" w:color="auto"/>
                    <w:left w:val="nil"/>
                    <w:bottom w:val="single" w:sz="4" w:space="0" w:color="auto"/>
                    <w:right w:val="single" w:sz="4" w:space="0" w:color="auto"/>
                  </w:tcBorders>
                  <w:shd w:val="clear" w:color="D9D9D9" w:fill="D9D9D9"/>
                  <w:hideMark/>
                </w:tcPr>
                <w:p w14:paraId="2913586E"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Prostitution</w:t>
                  </w:r>
                </w:p>
              </w:tc>
            </w:tr>
            <w:tr w:rsidR="00655145" w:rsidRPr="00655145" w14:paraId="3E1016B5"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14:paraId="7BF34D2C"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45-5-602 (3)</w:t>
                  </w:r>
                </w:p>
              </w:tc>
              <w:tc>
                <w:tcPr>
                  <w:tcW w:w="5300" w:type="dxa"/>
                  <w:tcBorders>
                    <w:top w:val="single" w:sz="4" w:space="0" w:color="auto"/>
                    <w:left w:val="single" w:sz="4" w:space="0" w:color="auto"/>
                    <w:bottom w:val="single" w:sz="4" w:space="0" w:color="auto"/>
                    <w:right w:val="single" w:sz="4" w:space="0" w:color="auto"/>
                  </w:tcBorders>
                  <w:shd w:val="clear" w:color="auto" w:fill="auto"/>
                  <w:hideMark/>
                </w:tcPr>
                <w:p w14:paraId="3FE48D5E"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Promoting Prostitution</w:t>
                  </w:r>
                </w:p>
              </w:tc>
            </w:tr>
            <w:tr w:rsidR="00655145" w:rsidRPr="00655145" w14:paraId="2C4E3F11"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D9D9D9" w:fill="D9D9D9"/>
                  <w:hideMark/>
                </w:tcPr>
                <w:p w14:paraId="0A43E324"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45-5-603</w:t>
                  </w:r>
                </w:p>
              </w:tc>
              <w:tc>
                <w:tcPr>
                  <w:tcW w:w="5300" w:type="dxa"/>
                  <w:tcBorders>
                    <w:top w:val="single" w:sz="4" w:space="0" w:color="auto"/>
                    <w:left w:val="single" w:sz="4" w:space="0" w:color="auto"/>
                    <w:bottom w:val="single" w:sz="4" w:space="0" w:color="auto"/>
                    <w:right w:val="single" w:sz="4" w:space="0" w:color="auto"/>
                  </w:tcBorders>
                  <w:shd w:val="clear" w:color="D9D9D9" w:fill="D9D9D9"/>
                  <w:hideMark/>
                </w:tcPr>
                <w:p w14:paraId="696D9732"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Aggravated Promotion of Prostitution</w:t>
                  </w:r>
                </w:p>
              </w:tc>
            </w:tr>
            <w:tr w:rsidR="00655145" w:rsidRPr="00655145" w14:paraId="745E7343"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14:paraId="50D64A37"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45-5-625</w:t>
                  </w:r>
                </w:p>
              </w:tc>
              <w:tc>
                <w:tcPr>
                  <w:tcW w:w="5300" w:type="dxa"/>
                  <w:tcBorders>
                    <w:top w:val="single" w:sz="4" w:space="0" w:color="auto"/>
                    <w:left w:val="single" w:sz="4" w:space="0" w:color="auto"/>
                    <w:bottom w:val="single" w:sz="4" w:space="0" w:color="auto"/>
                    <w:right w:val="single" w:sz="4" w:space="0" w:color="auto"/>
                  </w:tcBorders>
                  <w:shd w:val="clear" w:color="auto" w:fill="auto"/>
                  <w:hideMark/>
                </w:tcPr>
                <w:p w14:paraId="47E9EE0E"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Sexual Abuse of Children</w:t>
                  </w:r>
                </w:p>
              </w:tc>
            </w:tr>
            <w:tr w:rsidR="00655145" w:rsidRPr="00655145" w14:paraId="3C78AC36"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D9D9D9" w:fill="D9D9D9"/>
                  <w:hideMark/>
                </w:tcPr>
                <w:p w14:paraId="6678CBEC"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45-5-627</w:t>
                  </w:r>
                </w:p>
              </w:tc>
              <w:tc>
                <w:tcPr>
                  <w:tcW w:w="5300" w:type="dxa"/>
                  <w:tcBorders>
                    <w:top w:val="single" w:sz="4" w:space="0" w:color="auto"/>
                    <w:left w:val="single" w:sz="4" w:space="0" w:color="auto"/>
                    <w:bottom w:val="single" w:sz="4" w:space="0" w:color="auto"/>
                    <w:right w:val="single" w:sz="4" w:space="0" w:color="auto"/>
                  </w:tcBorders>
                  <w:shd w:val="clear" w:color="D9D9D9" w:fill="D9D9D9"/>
                  <w:hideMark/>
                </w:tcPr>
                <w:p w14:paraId="4333FCDE"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 xml:space="preserve">Ritual Abuse of Minor - Exceptions - Penalty </w:t>
                  </w:r>
                </w:p>
              </w:tc>
            </w:tr>
            <w:tr w:rsidR="00655145" w:rsidRPr="00655145" w14:paraId="769C6CB4"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14:paraId="7C736C1B"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45-5-702</w:t>
                  </w:r>
                </w:p>
              </w:tc>
              <w:tc>
                <w:tcPr>
                  <w:tcW w:w="5300" w:type="dxa"/>
                  <w:tcBorders>
                    <w:top w:val="single" w:sz="4" w:space="0" w:color="auto"/>
                    <w:left w:val="nil"/>
                    <w:bottom w:val="single" w:sz="4" w:space="0" w:color="auto"/>
                    <w:right w:val="single" w:sz="4" w:space="0" w:color="auto"/>
                  </w:tcBorders>
                  <w:shd w:val="clear" w:color="auto" w:fill="auto"/>
                  <w:hideMark/>
                </w:tcPr>
                <w:p w14:paraId="73073580"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Trafficking of persons</w:t>
                  </w:r>
                </w:p>
              </w:tc>
            </w:tr>
            <w:tr w:rsidR="00655145" w:rsidRPr="00655145" w14:paraId="4A38CBC4"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D9D9D9" w:fill="D9D9D9"/>
                  <w:hideMark/>
                </w:tcPr>
                <w:p w14:paraId="6A03234F"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45-5-703</w:t>
                  </w:r>
                </w:p>
              </w:tc>
              <w:tc>
                <w:tcPr>
                  <w:tcW w:w="5300" w:type="dxa"/>
                  <w:tcBorders>
                    <w:top w:val="single" w:sz="4" w:space="0" w:color="auto"/>
                    <w:left w:val="single" w:sz="4" w:space="0" w:color="auto"/>
                    <w:bottom w:val="single" w:sz="4" w:space="0" w:color="auto"/>
                    <w:right w:val="single" w:sz="4" w:space="0" w:color="auto"/>
                  </w:tcBorders>
                  <w:shd w:val="clear" w:color="D9D9D9" w:fill="D9D9D9"/>
                  <w:hideMark/>
                </w:tcPr>
                <w:p w14:paraId="156E7986"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Involuntary servitude</w:t>
                  </w:r>
                </w:p>
              </w:tc>
            </w:tr>
            <w:tr w:rsidR="00655145" w:rsidRPr="00655145" w14:paraId="682944EB"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14:paraId="7FEDFFFB"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45-5-704</w:t>
                  </w:r>
                </w:p>
              </w:tc>
              <w:tc>
                <w:tcPr>
                  <w:tcW w:w="5300" w:type="dxa"/>
                  <w:tcBorders>
                    <w:top w:val="single" w:sz="4" w:space="0" w:color="auto"/>
                    <w:left w:val="single" w:sz="4" w:space="0" w:color="auto"/>
                    <w:bottom w:val="single" w:sz="4" w:space="0" w:color="auto"/>
                    <w:right w:val="single" w:sz="4" w:space="0" w:color="auto"/>
                  </w:tcBorders>
                  <w:shd w:val="clear" w:color="auto" w:fill="auto"/>
                  <w:hideMark/>
                </w:tcPr>
                <w:p w14:paraId="688241F5"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Sexual Servitude</w:t>
                  </w:r>
                </w:p>
              </w:tc>
            </w:tr>
            <w:tr w:rsidR="00655145" w:rsidRPr="00655145" w14:paraId="6BA45F45"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D9D9D9" w:fill="D9D9D9"/>
                  <w:hideMark/>
                </w:tcPr>
                <w:p w14:paraId="1245E150"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45-5-705</w:t>
                  </w:r>
                </w:p>
              </w:tc>
              <w:tc>
                <w:tcPr>
                  <w:tcW w:w="5300" w:type="dxa"/>
                  <w:tcBorders>
                    <w:top w:val="single" w:sz="4" w:space="0" w:color="auto"/>
                    <w:left w:val="single" w:sz="4" w:space="0" w:color="auto"/>
                    <w:bottom w:val="single" w:sz="4" w:space="0" w:color="auto"/>
                    <w:right w:val="single" w:sz="4" w:space="0" w:color="auto"/>
                  </w:tcBorders>
                  <w:shd w:val="clear" w:color="D9D9D9" w:fill="D9D9D9"/>
                  <w:hideMark/>
                </w:tcPr>
                <w:p w14:paraId="1DE169CB"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 xml:space="preserve">Patronizing victim of sexual servitude </w:t>
                  </w:r>
                </w:p>
              </w:tc>
            </w:tr>
            <w:tr w:rsidR="00655145" w:rsidRPr="00655145" w14:paraId="534A11C8"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14:paraId="1BE7C1B2"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45-6-103</w:t>
                  </w:r>
                </w:p>
              </w:tc>
              <w:tc>
                <w:tcPr>
                  <w:tcW w:w="5300" w:type="dxa"/>
                  <w:tcBorders>
                    <w:top w:val="single" w:sz="4" w:space="0" w:color="auto"/>
                    <w:left w:val="single" w:sz="4" w:space="0" w:color="auto"/>
                    <w:bottom w:val="single" w:sz="4" w:space="0" w:color="auto"/>
                    <w:right w:val="single" w:sz="4" w:space="0" w:color="auto"/>
                  </w:tcBorders>
                  <w:shd w:val="clear" w:color="auto" w:fill="auto"/>
                  <w:hideMark/>
                </w:tcPr>
                <w:p w14:paraId="24FE853C"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Arson</w:t>
                  </w:r>
                </w:p>
              </w:tc>
            </w:tr>
            <w:tr w:rsidR="00655145" w:rsidRPr="00655145" w14:paraId="1ACCD0F1"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D9D9D9" w:fill="D9D9D9"/>
                  <w:hideMark/>
                </w:tcPr>
                <w:p w14:paraId="5B990E54"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45-6-204 (2) (b) (ii)</w:t>
                  </w:r>
                </w:p>
              </w:tc>
              <w:tc>
                <w:tcPr>
                  <w:tcW w:w="5300" w:type="dxa"/>
                  <w:tcBorders>
                    <w:top w:val="single" w:sz="4" w:space="0" w:color="auto"/>
                    <w:left w:val="single" w:sz="4" w:space="0" w:color="auto"/>
                    <w:bottom w:val="single" w:sz="4" w:space="0" w:color="auto"/>
                    <w:right w:val="single" w:sz="4" w:space="0" w:color="auto"/>
                  </w:tcBorders>
                  <w:shd w:val="clear" w:color="D9D9D9" w:fill="D9D9D9"/>
                  <w:hideMark/>
                </w:tcPr>
                <w:p w14:paraId="19C7A334"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 xml:space="preserve">Burglary  </w:t>
                  </w:r>
                </w:p>
              </w:tc>
            </w:tr>
            <w:tr w:rsidR="00655145" w:rsidRPr="00655145" w14:paraId="6C0B810D" w14:textId="77777777" w:rsidTr="00655145">
              <w:trPr>
                <w:trHeight w:val="630"/>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14:paraId="3E78793B"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45-6-601 (3)</w:t>
                  </w:r>
                </w:p>
              </w:tc>
              <w:tc>
                <w:tcPr>
                  <w:tcW w:w="5300" w:type="dxa"/>
                  <w:tcBorders>
                    <w:top w:val="single" w:sz="4" w:space="0" w:color="auto"/>
                    <w:left w:val="single" w:sz="4" w:space="0" w:color="auto"/>
                    <w:bottom w:val="single" w:sz="4" w:space="0" w:color="auto"/>
                    <w:right w:val="single" w:sz="4" w:space="0" w:color="auto"/>
                  </w:tcBorders>
                  <w:shd w:val="clear" w:color="auto" w:fill="auto"/>
                  <w:hideMark/>
                </w:tcPr>
                <w:p w14:paraId="2ECF9172"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Promotion of Prostitution of a child 12 years of age or younger by a client 18 years of age or older</w:t>
                  </w:r>
                </w:p>
              </w:tc>
            </w:tr>
            <w:tr w:rsidR="00655145" w:rsidRPr="00655145" w14:paraId="2CDA3723"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D9D9D9" w:fill="D9D9D9"/>
                  <w:hideMark/>
                </w:tcPr>
                <w:p w14:paraId="1062CA3C"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lastRenderedPageBreak/>
                    <w:t>45-7-301</w:t>
                  </w:r>
                </w:p>
              </w:tc>
              <w:tc>
                <w:tcPr>
                  <w:tcW w:w="5300" w:type="dxa"/>
                  <w:tcBorders>
                    <w:top w:val="single" w:sz="4" w:space="0" w:color="auto"/>
                    <w:left w:val="single" w:sz="4" w:space="0" w:color="auto"/>
                    <w:bottom w:val="single" w:sz="4" w:space="0" w:color="auto"/>
                    <w:right w:val="single" w:sz="4" w:space="0" w:color="auto"/>
                  </w:tcBorders>
                  <w:shd w:val="clear" w:color="D9D9D9" w:fill="D9D9D9"/>
                  <w:hideMark/>
                </w:tcPr>
                <w:p w14:paraId="38F512AD"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Resisting Arrest</w:t>
                  </w:r>
                </w:p>
              </w:tc>
            </w:tr>
            <w:tr w:rsidR="00655145" w:rsidRPr="00655145" w14:paraId="21E379E5"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14:paraId="4A820DB6"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45-8-103</w:t>
                  </w:r>
                </w:p>
              </w:tc>
              <w:tc>
                <w:tcPr>
                  <w:tcW w:w="5300" w:type="dxa"/>
                  <w:tcBorders>
                    <w:top w:val="single" w:sz="4" w:space="0" w:color="auto"/>
                    <w:left w:val="single" w:sz="4" w:space="0" w:color="auto"/>
                    <w:bottom w:val="single" w:sz="4" w:space="0" w:color="auto"/>
                    <w:right w:val="single" w:sz="4" w:space="0" w:color="auto"/>
                  </w:tcBorders>
                  <w:shd w:val="clear" w:color="auto" w:fill="auto"/>
                  <w:hideMark/>
                </w:tcPr>
                <w:p w14:paraId="7A54CA58"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 xml:space="preserve">Riot </w:t>
                  </w:r>
                </w:p>
              </w:tc>
            </w:tr>
            <w:tr w:rsidR="00655145" w:rsidRPr="00655145" w14:paraId="15C65EA8"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D9D9D9" w:fill="D9D9D9"/>
                  <w:hideMark/>
                </w:tcPr>
                <w:p w14:paraId="2EC81DA2"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45-8-303</w:t>
                  </w:r>
                </w:p>
              </w:tc>
              <w:tc>
                <w:tcPr>
                  <w:tcW w:w="5300" w:type="dxa"/>
                  <w:tcBorders>
                    <w:top w:val="single" w:sz="4" w:space="0" w:color="auto"/>
                    <w:left w:val="nil"/>
                    <w:bottom w:val="single" w:sz="4" w:space="0" w:color="auto"/>
                    <w:right w:val="single" w:sz="4" w:space="0" w:color="auto"/>
                  </w:tcBorders>
                  <w:shd w:val="clear" w:color="D9D9D9" w:fill="D9D9D9"/>
                  <w:hideMark/>
                </w:tcPr>
                <w:p w14:paraId="4E25A8B7" w14:textId="77777777" w:rsidR="00655145" w:rsidRPr="00655145" w:rsidRDefault="00655145" w:rsidP="00655145">
                  <w:pPr>
                    <w:rPr>
                      <w:rFonts w:ascii="Calibri" w:hAnsi="Calibri" w:cs="Calibri"/>
                      <w:color w:val="000000"/>
                      <w:sz w:val="24"/>
                      <w:szCs w:val="24"/>
                    </w:rPr>
                  </w:pPr>
                  <w:proofErr w:type="spellStart"/>
                  <w:r w:rsidRPr="00655145">
                    <w:rPr>
                      <w:rFonts w:ascii="Calibri" w:hAnsi="Calibri" w:cs="Calibri"/>
                      <w:color w:val="000000"/>
                      <w:sz w:val="24"/>
                      <w:szCs w:val="24"/>
                    </w:rPr>
                    <w:t>Posession</w:t>
                  </w:r>
                  <w:proofErr w:type="spellEnd"/>
                  <w:r w:rsidRPr="00655145">
                    <w:rPr>
                      <w:rFonts w:ascii="Calibri" w:hAnsi="Calibri" w:cs="Calibri"/>
                      <w:color w:val="000000"/>
                      <w:sz w:val="24"/>
                      <w:szCs w:val="24"/>
                    </w:rPr>
                    <w:t xml:space="preserve"> or Use of Machine Gun in Connection with a Crime</w:t>
                  </w:r>
                </w:p>
              </w:tc>
            </w:tr>
            <w:tr w:rsidR="00655145" w:rsidRPr="00655145" w14:paraId="64CF1F7A"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14:paraId="762A1544"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45-8-304</w:t>
                  </w:r>
                </w:p>
              </w:tc>
              <w:tc>
                <w:tcPr>
                  <w:tcW w:w="5300" w:type="dxa"/>
                  <w:tcBorders>
                    <w:top w:val="single" w:sz="4" w:space="0" w:color="auto"/>
                    <w:left w:val="nil"/>
                    <w:bottom w:val="single" w:sz="4" w:space="0" w:color="auto"/>
                    <w:right w:val="single" w:sz="4" w:space="0" w:color="auto"/>
                  </w:tcBorders>
                  <w:shd w:val="clear" w:color="auto" w:fill="auto"/>
                  <w:hideMark/>
                </w:tcPr>
                <w:p w14:paraId="477EC16C" w14:textId="77777777" w:rsidR="00655145" w:rsidRPr="00655145" w:rsidRDefault="00655145" w:rsidP="00655145">
                  <w:pPr>
                    <w:rPr>
                      <w:rFonts w:ascii="Calibri" w:hAnsi="Calibri" w:cs="Calibri"/>
                      <w:color w:val="000000"/>
                      <w:sz w:val="24"/>
                      <w:szCs w:val="24"/>
                    </w:rPr>
                  </w:pPr>
                  <w:proofErr w:type="spellStart"/>
                  <w:r w:rsidRPr="00655145">
                    <w:rPr>
                      <w:rFonts w:ascii="Calibri" w:hAnsi="Calibri" w:cs="Calibri"/>
                      <w:color w:val="000000"/>
                      <w:sz w:val="24"/>
                      <w:szCs w:val="24"/>
                    </w:rPr>
                    <w:t>Posession</w:t>
                  </w:r>
                  <w:proofErr w:type="spellEnd"/>
                  <w:r w:rsidRPr="00655145">
                    <w:rPr>
                      <w:rFonts w:ascii="Calibri" w:hAnsi="Calibri" w:cs="Calibri"/>
                      <w:color w:val="000000"/>
                      <w:sz w:val="24"/>
                      <w:szCs w:val="24"/>
                    </w:rPr>
                    <w:t xml:space="preserve"> or Use of Machine Gun for offensive purposes</w:t>
                  </w:r>
                </w:p>
              </w:tc>
            </w:tr>
            <w:tr w:rsidR="00655145" w:rsidRPr="00655145" w14:paraId="47654034"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D9D9D9" w:fill="D9D9D9"/>
                  <w:hideMark/>
                </w:tcPr>
                <w:p w14:paraId="78F783F4"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45-8-333</w:t>
                  </w:r>
                </w:p>
              </w:tc>
              <w:tc>
                <w:tcPr>
                  <w:tcW w:w="5300" w:type="dxa"/>
                  <w:tcBorders>
                    <w:top w:val="single" w:sz="4" w:space="0" w:color="auto"/>
                    <w:left w:val="single" w:sz="4" w:space="0" w:color="auto"/>
                    <w:bottom w:val="single" w:sz="4" w:space="0" w:color="auto"/>
                    <w:right w:val="single" w:sz="4" w:space="0" w:color="auto"/>
                  </w:tcBorders>
                  <w:shd w:val="clear" w:color="D9D9D9" w:fill="D9D9D9"/>
                  <w:hideMark/>
                </w:tcPr>
                <w:p w14:paraId="4A8E126A"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 xml:space="preserve">Reckless or Malicious Use of Explosives </w:t>
                  </w:r>
                </w:p>
              </w:tc>
            </w:tr>
            <w:tr w:rsidR="00655145" w:rsidRPr="00655145" w14:paraId="730672B5"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14:paraId="125CE09D"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45-8-403 (2)</w:t>
                  </w:r>
                </w:p>
              </w:tc>
              <w:tc>
                <w:tcPr>
                  <w:tcW w:w="5300" w:type="dxa"/>
                  <w:tcBorders>
                    <w:top w:val="single" w:sz="4" w:space="0" w:color="auto"/>
                    <w:left w:val="single" w:sz="4" w:space="0" w:color="auto"/>
                    <w:bottom w:val="single" w:sz="4" w:space="0" w:color="auto"/>
                    <w:right w:val="single" w:sz="4" w:space="0" w:color="auto"/>
                  </w:tcBorders>
                  <w:shd w:val="clear" w:color="auto" w:fill="auto"/>
                  <w:hideMark/>
                </w:tcPr>
                <w:p w14:paraId="102192B9"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Use of Threats to Coerce Gang Membership - Use of Violence to Coerce Gang Membership</w:t>
                  </w:r>
                </w:p>
              </w:tc>
            </w:tr>
            <w:tr w:rsidR="00655145" w:rsidRPr="00655145" w14:paraId="79798A24" w14:textId="77777777" w:rsidTr="00655145">
              <w:trPr>
                <w:trHeight w:val="315"/>
              </w:trPr>
              <w:tc>
                <w:tcPr>
                  <w:tcW w:w="2140" w:type="dxa"/>
                  <w:tcBorders>
                    <w:top w:val="single" w:sz="4" w:space="0" w:color="auto"/>
                    <w:left w:val="single" w:sz="4" w:space="0" w:color="auto"/>
                    <w:bottom w:val="single" w:sz="4" w:space="0" w:color="auto"/>
                    <w:right w:val="single" w:sz="4" w:space="0" w:color="auto"/>
                  </w:tcBorders>
                  <w:shd w:val="clear" w:color="D9D9D9" w:fill="D9D9D9"/>
                  <w:hideMark/>
                </w:tcPr>
                <w:p w14:paraId="596B9019"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52-3-825 (2) (a)</w:t>
                  </w:r>
                </w:p>
              </w:tc>
              <w:tc>
                <w:tcPr>
                  <w:tcW w:w="5300" w:type="dxa"/>
                  <w:tcBorders>
                    <w:top w:val="single" w:sz="4" w:space="0" w:color="auto"/>
                    <w:left w:val="nil"/>
                    <w:bottom w:val="single" w:sz="4" w:space="0" w:color="auto"/>
                    <w:right w:val="single" w:sz="4" w:space="0" w:color="auto"/>
                  </w:tcBorders>
                  <w:shd w:val="clear" w:color="D9D9D9" w:fill="D9D9D9"/>
                  <w:hideMark/>
                </w:tcPr>
                <w:p w14:paraId="0E840326" w14:textId="77777777" w:rsidR="00655145" w:rsidRPr="00655145" w:rsidRDefault="00655145" w:rsidP="00655145">
                  <w:pPr>
                    <w:rPr>
                      <w:rFonts w:ascii="Calibri" w:hAnsi="Calibri" w:cs="Calibri"/>
                      <w:color w:val="000000"/>
                      <w:sz w:val="24"/>
                      <w:szCs w:val="24"/>
                    </w:rPr>
                  </w:pPr>
                  <w:r w:rsidRPr="00655145">
                    <w:rPr>
                      <w:rFonts w:ascii="Calibri" w:hAnsi="Calibri" w:cs="Calibri"/>
                      <w:color w:val="000000"/>
                      <w:sz w:val="24"/>
                      <w:szCs w:val="24"/>
                    </w:rPr>
                    <w:t>Elder Abuse or Abuse of a Person with a Developmental Disability</w:t>
                  </w:r>
                </w:p>
              </w:tc>
            </w:tr>
          </w:tbl>
          <w:p w14:paraId="5790BD2F" w14:textId="720A427E" w:rsidR="00655145" w:rsidRPr="00655145" w:rsidRDefault="00655145" w:rsidP="0007333F">
            <w:pPr>
              <w:pStyle w:val="BodyText"/>
              <w:spacing w:after="0"/>
            </w:pPr>
          </w:p>
        </w:tc>
      </w:tr>
      <w:tr w:rsidR="00E84712" w:rsidRPr="00655145" w14:paraId="5874FC11" w14:textId="77777777" w:rsidTr="00E84712">
        <w:tc>
          <w:tcPr>
            <w:tcW w:w="7680" w:type="dxa"/>
            <w:tcBorders>
              <w:top w:val="single" w:sz="4" w:space="0" w:color="auto"/>
            </w:tcBorders>
          </w:tcPr>
          <w:p w14:paraId="043AA267" w14:textId="487559E2" w:rsidR="00E84712" w:rsidRPr="00655145" w:rsidRDefault="00E84712" w:rsidP="0007333F">
            <w:pPr>
              <w:pStyle w:val="BodyText"/>
              <w:spacing w:after="0"/>
            </w:pPr>
          </w:p>
        </w:tc>
      </w:tr>
    </w:tbl>
    <w:p w14:paraId="76411F53" w14:textId="719A532A" w:rsidR="00D02651" w:rsidRPr="00D02651" w:rsidRDefault="00D02651" w:rsidP="00B2655A">
      <w:pPr>
        <w:pStyle w:val="BodyText"/>
        <w:rPr>
          <w:b/>
        </w:rPr>
        <w:sectPr w:rsidR="00D02651" w:rsidRPr="00D02651" w:rsidSect="00BA7EBB">
          <w:headerReference w:type="default" r:id="rId18"/>
          <w:headerReference w:type="first" r:id="rId19"/>
          <w:pgSz w:w="12240" w:h="15840" w:code="1"/>
          <w:pgMar w:top="1800" w:right="1195" w:bottom="1440" w:left="3355" w:header="720" w:footer="720" w:gutter="0"/>
          <w:cols w:space="720"/>
          <w:titlePg/>
          <w:docGrid w:linePitch="218"/>
        </w:sectPr>
      </w:pPr>
    </w:p>
    <w:p w14:paraId="4AAFF4C2" w14:textId="1B8B860C" w:rsidR="00EA1723" w:rsidRDefault="00E446C7" w:rsidP="00EA1723">
      <w:pPr>
        <w:pStyle w:val="ChapterTitle"/>
      </w:pPr>
      <w:r>
        <w:lastRenderedPageBreak/>
        <w:t>Communicating with and p</w:t>
      </w:r>
      <w:r w:rsidR="00235D37">
        <w:t xml:space="preserve">roviding PSA </w:t>
      </w:r>
      <w:r w:rsidR="000A4CF3">
        <w:t>Information to</w:t>
      </w:r>
      <w:r w:rsidR="00235D37">
        <w:t xml:space="preserve"> Detaining County</w:t>
      </w:r>
    </w:p>
    <w:p w14:paraId="6D0AD1A0" w14:textId="5318E59A" w:rsidR="00126541" w:rsidRDefault="00126541" w:rsidP="00126541">
      <w:pPr>
        <w:pStyle w:val="ChapterSubtitle"/>
      </w:pPr>
    </w:p>
    <w:p w14:paraId="6AC88FE2" w14:textId="2A816AFD" w:rsidR="00E61682" w:rsidRDefault="003A4F8C" w:rsidP="00126541">
      <w:pPr>
        <w:pStyle w:val="BodyText"/>
      </w:pPr>
      <w:r>
        <w:t>For</w:t>
      </w:r>
      <w:r w:rsidR="00E61682">
        <w:t xml:space="preserve"> </w:t>
      </w:r>
      <w:r w:rsidR="00126541">
        <w:t>Montana’s pretrial project to meet the expectations</w:t>
      </w:r>
      <w:r w:rsidR="001F0F08">
        <w:t xml:space="preserve"> </w:t>
      </w:r>
      <w:r w:rsidR="00126541">
        <w:t>it is critical that the Office of the Court Administrator support each county</w:t>
      </w:r>
      <w:r w:rsidR="00E61682">
        <w:t>’s efforts in a variet</w:t>
      </w:r>
      <w:r w:rsidR="001F0F08">
        <w:t>y of ways</w:t>
      </w:r>
      <w:r w:rsidR="00E61682">
        <w:t>. The sharing of information and overall communication is of the utmost imp</w:t>
      </w:r>
      <w:r w:rsidR="006E7A1B">
        <w:t>o</w:t>
      </w:r>
      <w:r w:rsidR="00E61682">
        <w:t>rt</w:t>
      </w:r>
      <w:r w:rsidR="001F0F08">
        <w:t>a</w:t>
      </w:r>
      <w:r w:rsidR="00E61682">
        <w:t xml:space="preserve">nce to demonstrate that pretrial is </w:t>
      </w:r>
      <w:r w:rsidR="006E7A1B">
        <w:t>of value</w:t>
      </w:r>
      <w:r w:rsidR="00E61682">
        <w:t xml:space="preserve"> to the future of the criminal justice system in Montana.  Two documents</w:t>
      </w:r>
      <w:r w:rsidR="001F0F08">
        <w:t xml:space="preserve"> outline </w:t>
      </w:r>
      <w:r w:rsidR="006E7A1B">
        <w:t>how</w:t>
      </w:r>
      <w:r w:rsidR="001F0F08">
        <w:t xml:space="preserve"> the OCA formally supports the efforts of each </w:t>
      </w:r>
      <w:r w:rsidR="00912D42">
        <w:t>pilot/</w:t>
      </w:r>
      <w:r w:rsidR="001F0F08">
        <w:t>participating county and promotes communication between the county and OCA</w:t>
      </w:r>
      <w:r w:rsidR="000D28D5">
        <w:t>, the documents are:</w:t>
      </w:r>
    </w:p>
    <w:p w14:paraId="7873BF79" w14:textId="52A230FB" w:rsidR="00E61682" w:rsidRDefault="00E61682" w:rsidP="00E61682">
      <w:pPr>
        <w:pStyle w:val="BodyText"/>
        <w:numPr>
          <w:ilvl w:val="0"/>
          <w:numId w:val="44"/>
        </w:numPr>
      </w:pPr>
      <w:r>
        <w:t>Inter-Agency agreement (IA)</w:t>
      </w:r>
      <w:r w:rsidR="000D28D5">
        <w:t xml:space="preserve"> The Supreme Court Administrator and county commissioners for each county sign off on an agreement at the inception of the project. The IA contains specific </w:t>
      </w:r>
      <w:r w:rsidR="00833FA9">
        <w:t>language</w:t>
      </w:r>
      <w:r w:rsidR="000D28D5">
        <w:t xml:space="preserve"> that addresses a variety of administrative functions and support the OCA is to provide the</w:t>
      </w:r>
      <w:r w:rsidR="00912D42">
        <w:t xml:space="preserve"> </w:t>
      </w:r>
      <w:r w:rsidR="000D28D5">
        <w:t>county.  The IA indicates that the OCA will provide</w:t>
      </w:r>
      <w:r w:rsidR="00833FA9">
        <w:t>:</w:t>
      </w:r>
    </w:p>
    <w:p w14:paraId="27A9C29A" w14:textId="119D57FA" w:rsidR="000D28D5" w:rsidRDefault="000D28D5" w:rsidP="000D28D5">
      <w:pPr>
        <w:pStyle w:val="BodyText"/>
        <w:ind w:left="720"/>
      </w:pPr>
      <w:r>
        <w:t>State Funding</w:t>
      </w:r>
      <w:r w:rsidR="00833FA9">
        <w:t xml:space="preserve"> as allocated by the Montana Legislature in an amount tied to county population and crime statistics.</w:t>
      </w:r>
      <w:r w:rsidR="00912D42">
        <w:t xml:space="preserve"> (Pil</w:t>
      </w:r>
      <w:r w:rsidR="00E446C7">
        <w:t>o</w:t>
      </w:r>
      <w:r w:rsidR="00912D42">
        <w:t>t Counties Only)</w:t>
      </w:r>
    </w:p>
    <w:p w14:paraId="62054A41" w14:textId="10538340" w:rsidR="000D28D5" w:rsidRDefault="000D28D5" w:rsidP="000D28D5">
      <w:pPr>
        <w:pStyle w:val="BodyText"/>
        <w:ind w:left="720"/>
      </w:pPr>
      <w:r>
        <w:t>Training</w:t>
      </w:r>
      <w:r w:rsidR="00D67B2C">
        <w:t xml:space="preserve"> </w:t>
      </w:r>
    </w:p>
    <w:p w14:paraId="698B4C37" w14:textId="09A35EF9" w:rsidR="000D28D5" w:rsidRDefault="000D28D5" w:rsidP="000D28D5">
      <w:pPr>
        <w:pStyle w:val="BodyText"/>
        <w:ind w:left="720"/>
      </w:pPr>
      <w:r>
        <w:t>Technical Assistance</w:t>
      </w:r>
    </w:p>
    <w:p w14:paraId="5B7F1D32" w14:textId="30028A76" w:rsidR="000D28D5" w:rsidRDefault="000D28D5" w:rsidP="000D28D5">
      <w:pPr>
        <w:pStyle w:val="BodyText"/>
        <w:ind w:left="720"/>
      </w:pPr>
      <w:r>
        <w:t>Support via an adviso</w:t>
      </w:r>
      <w:r w:rsidR="00833FA9">
        <w:t>r</w:t>
      </w:r>
      <w:r>
        <w:t xml:space="preserve">y council appointed by the </w:t>
      </w:r>
      <w:r w:rsidR="006D2C7A">
        <w:t>Montana Supreme Court C</w:t>
      </w:r>
      <w:r>
        <w:t xml:space="preserve">hief </w:t>
      </w:r>
      <w:r w:rsidR="006D2C7A">
        <w:t>J</w:t>
      </w:r>
      <w:r>
        <w:t>ustice</w:t>
      </w:r>
    </w:p>
    <w:p w14:paraId="59879415" w14:textId="06CF43E6" w:rsidR="00E61682" w:rsidRDefault="00E61682" w:rsidP="00E61682">
      <w:pPr>
        <w:pStyle w:val="BodyText"/>
        <w:numPr>
          <w:ilvl w:val="0"/>
          <w:numId w:val="44"/>
        </w:numPr>
      </w:pPr>
      <w:r>
        <w:t>Work-flow document</w:t>
      </w:r>
      <w:r w:rsidR="00D67B2C">
        <w:t xml:space="preserve">. </w:t>
      </w:r>
      <w:r w:rsidR="00833FA9">
        <w:t xml:space="preserve"> As part of each county</w:t>
      </w:r>
      <w:r w:rsidR="00D67B2C">
        <w:t>’s</w:t>
      </w:r>
      <w:r w:rsidR="00833FA9">
        <w:t xml:space="preserve"> stakeho</w:t>
      </w:r>
      <w:r w:rsidR="00D67B2C">
        <w:t>l</w:t>
      </w:r>
      <w:r w:rsidR="00833FA9">
        <w:t>ders meeting</w:t>
      </w:r>
      <w:r w:rsidR="00D67B2C">
        <w:t xml:space="preserve"> and </w:t>
      </w:r>
      <w:r w:rsidR="00833FA9">
        <w:t>orientation meeting a draft work-flow document is presen</w:t>
      </w:r>
      <w:r w:rsidR="00D67B2C">
        <w:t>ted</w:t>
      </w:r>
      <w:r w:rsidR="00833FA9">
        <w:t xml:space="preserve"> to stakeholders.  Each document is developed jointly between the county representatives and the OCA.  The document details a step by step procedure that is activated upon the arrest and booking of a defendant. The procedure outlined in the work-flow document includes the steps the OCA processors take in response to receiving a booking </w:t>
      </w:r>
      <w:r w:rsidR="006E7A1B">
        <w:t xml:space="preserve">slip from a participating county </w:t>
      </w:r>
      <w:r w:rsidR="003A4F8C">
        <w:t>to</w:t>
      </w:r>
      <w:r w:rsidR="006E7A1B" w:rsidRPr="00E446C7">
        <w:rPr>
          <w:b/>
          <w:bCs/>
        </w:rPr>
        <w:t xml:space="preserve"> complete </w:t>
      </w:r>
      <w:r w:rsidR="006E7A1B">
        <w:t>a Public Safety Assessment (PSA) on a defendant.</w:t>
      </w:r>
      <w:r w:rsidR="00B05090">
        <w:t xml:space="preserve"> It is noted that the final procedure in completing the PSA process calls for the OCA processor to submit a “Report to the Court” and enter the results of the PSA into the AutoMon system.</w:t>
      </w:r>
    </w:p>
    <w:p w14:paraId="2AF16001" w14:textId="2303C060" w:rsidR="006E7A1B" w:rsidRDefault="006E7A1B" w:rsidP="006E7A1B">
      <w:pPr>
        <w:pStyle w:val="BodyText"/>
        <w:ind w:left="720"/>
      </w:pPr>
      <w:r>
        <w:lastRenderedPageBreak/>
        <w:t xml:space="preserve">Attached is a sample of the </w:t>
      </w:r>
      <w:r w:rsidRPr="00E446C7">
        <w:rPr>
          <w:b/>
          <w:bCs/>
        </w:rPr>
        <w:t>“work-flow”</w:t>
      </w:r>
      <w:r>
        <w:t xml:space="preserve"> </w:t>
      </w:r>
      <w:r w:rsidRPr="00E446C7">
        <w:rPr>
          <w:b/>
          <w:bCs/>
        </w:rPr>
        <w:t>docu</w:t>
      </w:r>
      <w:r w:rsidR="00D67B2C" w:rsidRPr="00E446C7">
        <w:rPr>
          <w:b/>
          <w:bCs/>
        </w:rPr>
        <w:t>ment</w:t>
      </w:r>
      <w:r w:rsidR="00E446C7">
        <w:t xml:space="preserve"> and the </w:t>
      </w:r>
      <w:r w:rsidR="00E446C7" w:rsidRPr="00E446C7">
        <w:rPr>
          <w:b/>
          <w:bCs/>
        </w:rPr>
        <w:t xml:space="preserve">“Report to the Court” </w:t>
      </w:r>
      <w:r>
        <w:t xml:space="preserve">that </w:t>
      </w:r>
      <w:r w:rsidR="00E446C7">
        <w:t xml:space="preserve">illustrate </w:t>
      </w:r>
      <w:r>
        <w:t xml:space="preserve">the OCA processor’s </w:t>
      </w:r>
      <w:r w:rsidR="00E446C7">
        <w:t xml:space="preserve">efforts in </w:t>
      </w:r>
      <w:r w:rsidR="00B05090">
        <w:t xml:space="preserve">completing </w:t>
      </w:r>
      <w:r w:rsidR="00E446C7">
        <w:t xml:space="preserve">a Public Safety Assessment </w:t>
      </w:r>
      <w:r w:rsidR="00B05090">
        <w:t>(PSA) on a defendant.</w:t>
      </w:r>
      <w:r w:rsidR="00444850">
        <w:t xml:space="preserve">  The OCA processor is required to complete steps</w:t>
      </w:r>
      <w:r w:rsidR="0039477D">
        <w:t xml:space="preserve"> 4, 5 and 10 of the “workflow” </w:t>
      </w:r>
      <w:proofErr w:type="gramStart"/>
      <w:r w:rsidR="0039477D">
        <w:t>document</w:t>
      </w:r>
      <w:proofErr w:type="gramEnd"/>
      <w:r w:rsidR="0039477D">
        <w:t>.</w:t>
      </w:r>
    </w:p>
    <w:p w14:paraId="61F7E389" w14:textId="2BCEB02C" w:rsidR="00017C5C" w:rsidRDefault="00017C5C" w:rsidP="006E7A1B">
      <w:pPr>
        <w:pStyle w:val="BodyText"/>
        <w:ind w:left="720"/>
      </w:pPr>
    </w:p>
    <w:p w14:paraId="33495CF4" w14:textId="42A261FA" w:rsidR="00985431" w:rsidRDefault="00985431" w:rsidP="006E7A1B">
      <w:pPr>
        <w:pStyle w:val="BodyText"/>
        <w:ind w:left="720"/>
      </w:pPr>
    </w:p>
    <w:p w14:paraId="6A957C6C" w14:textId="03D61A0F" w:rsidR="00985431" w:rsidRDefault="00985431" w:rsidP="006E7A1B">
      <w:pPr>
        <w:pStyle w:val="BodyText"/>
        <w:ind w:left="720"/>
      </w:pPr>
    </w:p>
    <w:p w14:paraId="47B26A18" w14:textId="094A58D5" w:rsidR="00985431" w:rsidRDefault="00985431" w:rsidP="006E7A1B">
      <w:pPr>
        <w:pStyle w:val="BodyText"/>
        <w:ind w:left="720"/>
      </w:pPr>
    </w:p>
    <w:p w14:paraId="043EA7F1" w14:textId="4F4D522E" w:rsidR="00985431" w:rsidRDefault="00985431" w:rsidP="006E7A1B">
      <w:pPr>
        <w:pStyle w:val="BodyText"/>
        <w:ind w:left="720"/>
      </w:pPr>
    </w:p>
    <w:p w14:paraId="645690F1" w14:textId="17533111" w:rsidR="00985431" w:rsidRDefault="00985431" w:rsidP="006E7A1B">
      <w:pPr>
        <w:pStyle w:val="BodyText"/>
        <w:ind w:left="720"/>
      </w:pPr>
    </w:p>
    <w:p w14:paraId="6D8E0DB3" w14:textId="7F8B420F" w:rsidR="00985431" w:rsidRDefault="00985431" w:rsidP="006E7A1B">
      <w:pPr>
        <w:pStyle w:val="BodyText"/>
        <w:ind w:left="720"/>
      </w:pPr>
    </w:p>
    <w:p w14:paraId="1C7230D0" w14:textId="5374D8E4" w:rsidR="00985431" w:rsidRDefault="00985431" w:rsidP="006E7A1B">
      <w:pPr>
        <w:pStyle w:val="BodyText"/>
        <w:ind w:left="720"/>
      </w:pPr>
    </w:p>
    <w:p w14:paraId="44B17446" w14:textId="47B6ADCB" w:rsidR="00985431" w:rsidRDefault="00985431" w:rsidP="006E7A1B">
      <w:pPr>
        <w:pStyle w:val="BodyText"/>
        <w:ind w:left="720"/>
      </w:pPr>
    </w:p>
    <w:p w14:paraId="463613A5" w14:textId="318E4588" w:rsidR="00985431" w:rsidRDefault="00985431" w:rsidP="006E7A1B">
      <w:pPr>
        <w:pStyle w:val="BodyText"/>
        <w:ind w:left="720"/>
      </w:pPr>
    </w:p>
    <w:p w14:paraId="3A0E4E58" w14:textId="599820B5" w:rsidR="00985431" w:rsidRDefault="00985431" w:rsidP="006E7A1B">
      <w:pPr>
        <w:pStyle w:val="BodyText"/>
        <w:ind w:left="720"/>
      </w:pPr>
    </w:p>
    <w:p w14:paraId="3C2BAEB9" w14:textId="42C0E461" w:rsidR="00985431" w:rsidRDefault="00985431" w:rsidP="006E7A1B">
      <w:pPr>
        <w:pStyle w:val="BodyText"/>
        <w:ind w:left="720"/>
      </w:pPr>
    </w:p>
    <w:p w14:paraId="7D064396" w14:textId="5C7018FE" w:rsidR="00985431" w:rsidRDefault="00985431" w:rsidP="006E7A1B">
      <w:pPr>
        <w:pStyle w:val="BodyText"/>
        <w:ind w:left="720"/>
      </w:pPr>
    </w:p>
    <w:p w14:paraId="537BA2DC" w14:textId="5298B2A8" w:rsidR="00985431" w:rsidRDefault="00985431" w:rsidP="006E7A1B">
      <w:pPr>
        <w:pStyle w:val="BodyText"/>
        <w:ind w:left="720"/>
      </w:pPr>
    </w:p>
    <w:p w14:paraId="470AC267" w14:textId="03A317DD" w:rsidR="00985431" w:rsidRDefault="00985431" w:rsidP="006E7A1B">
      <w:pPr>
        <w:pStyle w:val="BodyText"/>
        <w:ind w:left="720"/>
      </w:pPr>
    </w:p>
    <w:p w14:paraId="22D71EAD" w14:textId="67E0771E" w:rsidR="00985431" w:rsidRDefault="00985431" w:rsidP="006E7A1B">
      <w:pPr>
        <w:pStyle w:val="BodyText"/>
        <w:ind w:left="720"/>
      </w:pPr>
    </w:p>
    <w:p w14:paraId="2946BA41" w14:textId="2CF9DCE4" w:rsidR="00985431" w:rsidRDefault="00985431" w:rsidP="006E7A1B">
      <w:pPr>
        <w:pStyle w:val="BodyText"/>
        <w:ind w:left="720"/>
      </w:pPr>
    </w:p>
    <w:p w14:paraId="089BD519" w14:textId="46B129D1" w:rsidR="00985431" w:rsidRDefault="00985431" w:rsidP="006E7A1B">
      <w:pPr>
        <w:pStyle w:val="BodyText"/>
        <w:ind w:left="720"/>
      </w:pPr>
    </w:p>
    <w:p w14:paraId="159E1FFA" w14:textId="07507878" w:rsidR="00985431" w:rsidRDefault="00985431" w:rsidP="006E7A1B">
      <w:pPr>
        <w:pStyle w:val="BodyText"/>
        <w:ind w:left="720"/>
      </w:pPr>
    </w:p>
    <w:p w14:paraId="711CDDBF" w14:textId="77777777" w:rsidR="00985431" w:rsidRPr="001C13D3" w:rsidRDefault="00985431" w:rsidP="00985431">
      <w:pPr>
        <w:jc w:val="center"/>
        <w:rPr>
          <w:rFonts w:ascii="Cambria" w:hAnsi="Cambria"/>
          <w:b/>
          <w:sz w:val="28"/>
          <w:szCs w:val="28"/>
        </w:rPr>
      </w:pPr>
      <w:r>
        <w:rPr>
          <w:rFonts w:ascii="Cambria" w:hAnsi="Cambria"/>
          <w:b/>
          <w:sz w:val="28"/>
          <w:szCs w:val="28"/>
        </w:rPr>
        <w:t>SAMPLE</w:t>
      </w:r>
      <w:r>
        <w:rPr>
          <w:rFonts w:ascii="Cambria" w:hAnsi="Cambria"/>
          <w:b/>
          <w:sz w:val="28"/>
          <w:szCs w:val="28"/>
        </w:rPr>
        <w:br/>
      </w:r>
      <w:r w:rsidRPr="001C13D3">
        <w:rPr>
          <w:rFonts w:ascii="Cambria" w:hAnsi="Cambria"/>
          <w:b/>
          <w:sz w:val="28"/>
          <w:szCs w:val="28"/>
        </w:rPr>
        <w:t xml:space="preserve">Defendant Public Safety Assessment (PSA) </w:t>
      </w:r>
      <w:proofErr w:type="gramStart"/>
      <w:r w:rsidRPr="001C13D3">
        <w:rPr>
          <w:rFonts w:ascii="Cambria" w:hAnsi="Cambria"/>
          <w:b/>
          <w:sz w:val="28"/>
          <w:szCs w:val="28"/>
        </w:rPr>
        <w:t>Work Flow</w:t>
      </w:r>
      <w:proofErr w:type="gramEnd"/>
    </w:p>
    <w:p w14:paraId="7B73E118" w14:textId="77777777" w:rsidR="00985431" w:rsidRPr="005268C8" w:rsidRDefault="00985431" w:rsidP="00985431">
      <w:pPr>
        <w:jc w:val="center"/>
        <w:rPr>
          <w:rFonts w:ascii="Cambria" w:hAnsi="Cambria"/>
          <w:sz w:val="28"/>
          <w:szCs w:val="28"/>
        </w:rPr>
      </w:pPr>
      <w:r w:rsidRPr="005268C8">
        <w:rPr>
          <w:rFonts w:ascii="Cambria" w:hAnsi="Cambria"/>
          <w:sz w:val="28"/>
          <w:szCs w:val="28"/>
        </w:rPr>
        <w:t>Yellowstone County Pretrial P</w:t>
      </w:r>
      <w:r>
        <w:rPr>
          <w:rFonts w:ascii="Cambria" w:hAnsi="Cambria"/>
          <w:sz w:val="28"/>
          <w:szCs w:val="28"/>
        </w:rPr>
        <w:t>ilot P</w:t>
      </w:r>
      <w:r w:rsidRPr="005268C8">
        <w:rPr>
          <w:rFonts w:ascii="Cambria" w:hAnsi="Cambria"/>
          <w:sz w:val="28"/>
          <w:szCs w:val="28"/>
        </w:rPr>
        <w:t>rogram</w:t>
      </w:r>
    </w:p>
    <w:p w14:paraId="278F4789" w14:textId="77777777" w:rsidR="00985431" w:rsidRPr="00457557" w:rsidRDefault="00985431" w:rsidP="00985431">
      <w:pPr>
        <w:rPr>
          <w:rFonts w:ascii="Cambria" w:hAnsi="Cambria"/>
          <w:sz w:val="24"/>
          <w:szCs w:val="24"/>
        </w:rPr>
      </w:pPr>
    </w:p>
    <w:p w14:paraId="3EB82950" w14:textId="77777777" w:rsidR="00985431" w:rsidRPr="00457557" w:rsidRDefault="00985431" w:rsidP="00985431">
      <w:pPr>
        <w:rPr>
          <w:rFonts w:ascii="Cambria" w:hAnsi="Cambria"/>
          <w:sz w:val="24"/>
          <w:szCs w:val="24"/>
        </w:rPr>
      </w:pPr>
      <w:r w:rsidRPr="00457557">
        <w:rPr>
          <w:rFonts w:ascii="Cambria" w:hAnsi="Cambria"/>
          <w:sz w:val="24"/>
          <w:szCs w:val="24"/>
          <w:u w:val="single"/>
        </w:rPr>
        <w:lastRenderedPageBreak/>
        <w:t>OCA Processor</w:t>
      </w:r>
      <w:r w:rsidRPr="00457557">
        <w:rPr>
          <w:rFonts w:ascii="Cambria" w:hAnsi="Cambria"/>
          <w:sz w:val="24"/>
          <w:szCs w:val="24"/>
        </w:rPr>
        <w:t xml:space="preserve"> – staff in the Office of the Court Administrator that will receive, process, and return the PSA to the county for the Judicial Officer’s review prior to a first hearing. </w:t>
      </w:r>
    </w:p>
    <w:p w14:paraId="3A15B409" w14:textId="77777777" w:rsidR="00985431" w:rsidRPr="00457557" w:rsidRDefault="00985431" w:rsidP="00985431">
      <w:pPr>
        <w:rPr>
          <w:rFonts w:ascii="Cambria" w:hAnsi="Cambria"/>
          <w:sz w:val="24"/>
          <w:szCs w:val="24"/>
        </w:rPr>
      </w:pPr>
      <w:r w:rsidRPr="00457557">
        <w:rPr>
          <w:rFonts w:ascii="Cambria" w:hAnsi="Cambria"/>
          <w:sz w:val="24"/>
          <w:szCs w:val="24"/>
          <w:u w:val="single"/>
        </w:rPr>
        <w:t>Pretrial Case Manager</w:t>
      </w:r>
      <w:r w:rsidRPr="00457557">
        <w:rPr>
          <w:rFonts w:ascii="Cambria" w:hAnsi="Cambria"/>
          <w:sz w:val="24"/>
          <w:szCs w:val="24"/>
        </w:rPr>
        <w:t xml:space="preserve"> – staff that will coordinate the county’s pretrial program and ensure pretrial supervision, data entry and reporting, and communication with stakeholders.</w:t>
      </w:r>
    </w:p>
    <w:p w14:paraId="6DA88C2B" w14:textId="77777777" w:rsidR="00985431" w:rsidRPr="00457557" w:rsidRDefault="00985431" w:rsidP="00985431">
      <w:pPr>
        <w:rPr>
          <w:rFonts w:ascii="Cambria" w:hAnsi="Cambria"/>
          <w:sz w:val="28"/>
          <w:szCs w:val="28"/>
        </w:rPr>
      </w:pPr>
      <w:r w:rsidRPr="00457557">
        <w:rPr>
          <w:rFonts w:ascii="Cambria" w:hAnsi="Cambria"/>
          <w:sz w:val="28"/>
          <w:szCs w:val="28"/>
        </w:rPr>
        <w:t>Process:</w:t>
      </w:r>
    </w:p>
    <w:p w14:paraId="761631B9" w14:textId="77777777" w:rsidR="00985431" w:rsidRPr="00457557" w:rsidRDefault="00985431" w:rsidP="00985431">
      <w:pPr>
        <w:pStyle w:val="ListParagraph"/>
        <w:numPr>
          <w:ilvl w:val="0"/>
          <w:numId w:val="46"/>
        </w:numPr>
        <w:rPr>
          <w:rFonts w:ascii="Cambria" w:hAnsi="Cambria"/>
          <w:sz w:val="24"/>
          <w:szCs w:val="24"/>
        </w:rPr>
      </w:pPr>
      <w:r w:rsidRPr="00457557">
        <w:rPr>
          <w:rFonts w:ascii="Cambria" w:hAnsi="Cambria"/>
          <w:sz w:val="24"/>
          <w:szCs w:val="24"/>
          <w:u w:val="single"/>
        </w:rPr>
        <w:t>ARREST:</w:t>
      </w:r>
      <w:r w:rsidRPr="00457557">
        <w:rPr>
          <w:rFonts w:ascii="Cambria" w:hAnsi="Cambria"/>
          <w:sz w:val="24"/>
          <w:szCs w:val="24"/>
        </w:rPr>
        <w:t xml:space="preserve"> Arrest </w:t>
      </w:r>
      <w:proofErr w:type="gramStart"/>
      <w:r w:rsidRPr="00457557">
        <w:rPr>
          <w:rFonts w:ascii="Cambria" w:hAnsi="Cambria"/>
          <w:sz w:val="24"/>
          <w:szCs w:val="24"/>
        </w:rPr>
        <w:t>made</w:t>
      </w:r>
      <w:proofErr w:type="gramEnd"/>
      <w:r w:rsidRPr="00457557">
        <w:rPr>
          <w:rFonts w:ascii="Cambria" w:hAnsi="Cambria"/>
          <w:sz w:val="24"/>
          <w:szCs w:val="24"/>
        </w:rPr>
        <w:t xml:space="preserve"> and Law Enforcement Officer determines that defendant needs to be held in Yellowstone County Detention Facility [YCDF].</w:t>
      </w:r>
    </w:p>
    <w:p w14:paraId="4C7E79D2" w14:textId="77777777" w:rsidR="00985431" w:rsidRPr="00457557" w:rsidRDefault="00985431" w:rsidP="00985431">
      <w:pPr>
        <w:pStyle w:val="ListParagraph"/>
        <w:rPr>
          <w:rFonts w:ascii="Cambria" w:hAnsi="Cambria"/>
          <w:sz w:val="24"/>
          <w:szCs w:val="24"/>
        </w:rPr>
      </w:pPr>
    </w:p>
    <w:p w14:paraId="2B14519F" w14:textId="77777777" w:rsidR="00985431" w:rsidRPr="00457557" w:rsidRDefault="00985431" w:rsidP="00985431">
      <w:pPr>
        <w:pStyle w:val="ListParagraph"/>
        <w:numPr>
          <w:ilvl w:val="0"/>
          <w:numId w:val="46"/>
        </w:numPr>
        <w:rPr>
          <w:rFonts w:ascii="Cambria" w:hAnsi="Cambria"/>
          <w:sz w:val="24"/>
          <w:szCs w:val="24"/>
        </w:rPr>
      </w:pPr>
      <w:r w:rsidRPr="00457557">
        <w:rPr>
          <w:rFonts w:ascii="Cambria" w:hAnsi="Cambria"/>
          <w:sz w:val="24"/>
          <w:szCs w:val="24"/>
          <w:u w:val="single"/>
        </w:rPr>
        <w:t>BOOKING</w:t>
      </w:r>
      <w:r w:rsidRPr="00457557">
        <w:rPr>
          <w:rFonts w:ascii="Cambria" w:hAnsi="Cambria"/>
          <w:sz w:val="24"/>
          <w:szCs w:val="24"/>
        </w:rPr>
        <w:t>: Detention staff processes defendant and ensures that defendant is appropriate for detention.</w:t>
      </w:r>
    </w:p>
    <w:p w14:paraId="458BFC8E" w14:textId="77777777" w:rsidR="00985431" w:rsidRPr="00457557" w:rsidRDefault="00985431" w:rsidP="00985431">
      <w:pPr>
        <w:pStyle w:val="ListParagraph"/>
        <w:rPr>
          <w:rFonts w:ascii="Cambria" w:hAnsi="Cambria"/>
          <w:sz w:val="24"/>
          <w:szCs w:val="24"/>
        </w:rPr>
      </w:pPr>
    </w:p>
    <w:p w14:paraId="2664AB7B" w14:textId="77777777" w:rsidR="00985431" w:rsidRPr="00457557" w:rsidRDefault="00985431" w:rsidP="00985431">
      <w:pPr>
        <w:pStyle w:val="ListParagraph"/>
        <w:numPr>
          <w:ilvl w:val="0"/>
          <w:numId w:val="46"/>
        </w:numPr>
        <w:rPr>
          <w:rFonts w:ascii="Cambria" w:hAnsi="Cambria"/>
          <w:sz w:val="24"/>
          <w:szCs w:val="24"/>
        </w:rPr>
      </w:pPr>
      <w:r w:rsidRPr="00457557">
        <w:rPr>
          <w:rFonts w:ascii="Cambria" w:hAnsi="Cambria"/>
          <w:sz w:val="24"/>
          <w:szCs w:val="24"/>
          <w:u w:val="single"/>
        </w:rPr>
        <w:t>BOOKING SHEET TO HELENA</w:t>
      </w:r>
      <w:r w:rsidRPr="00457557">
        <w:rPr>
          <w:rFonts w:ascii="Cambria" w:hAnsi="Cambria"/>
          <w:sz w:val="24"/>
          <w:szCs w:val="24"/>
        </w:rPr>
        <w:t xml:space="preserve">: Within two hours of defendant’s detention, Detention staff scans and emails the booking sheet containing the defendant’s name, current law violation, date of birth, and social security number to the OCA’s Processor. The email address that the document will be sent to is: </w:t>
      </w:r>
      <w:hyperlink r:id="rId20" w:history="1">
        <w:r w:rsidRPr="00457557">
          <w:rPr>
            <w:rStyle w:val="Hyperlink"/>
            <w:rFonts w:ascii="Cambria" w:hAnsi="Cambria"/>
            <w:sz w:val="24"/>
            <w:szCs w:val="24"/>
          </w:rPr>
          <w:t>judpretrial@mt.gov</w:t>
        </w:r>
      </w:hyperlink>
    </w:p>
    <w:p w14:paraId="7F1343A1" w14:textId="77777777" w:rsidR="00985431" w:rsidRPr="00457557" w:rsidRDefault="00985431" w:rsidP="00985431">
      <w:pPr>
        <w:pStyle w:val="ListParagraph"/>
        <w:rPr>
          <w:rFonts w:ascii="Cambria" w:hAnsi="Cambria"/>
          <w:sz w:val="24"/>
          <w:szCs w:val="24"/>
        </w:rPr>
      </w:pPr>
    </w:p>
    <w:p w14:paraId="21166F4D" w14:textId="77777777" w:rsidR="00985431" w:rsidRPr="00457557" w:rsidRDefault="00985431" w:rsidP="00985431">
      <w:pPr>
        <w:pStyle w:val="ListParagraph"/>
        <w:numPr>
          <w:ilvl w:val="0"/>
          <w:numId w:val="46"/>
        </w:numPr>
        <w:rPr>
          <w:rFonts w:ascii="Cambria" w:hAnsi="Cambria"/>
          <w:sz w:val="24"/>
          <w:szCs w:val="24"/>
        </w:rPr>
      </w:pPr>
      <w:r w:rsidRPr="00457557">
        <w:rPr>
          <w:rFonts w:ascii="Cambria" w:hAnsi="Cambria"/>
          <w:sz w:val="24"/>
          <w:szCs w:val="24"/>
          <w:u w:val="single"/>
        </w:rPr>
        <w:t>PSA 1</w:t>
      </w:r>
      <w:r w:rsidRPr="00457557">
        <w:rPr>
          <w:rFonts w:ascii="Cambria" w:hAnsi="Cambria"/>
          <w:sz w:val="24"/>
          <w:szCs w:val="24"/>
          <w:u w:val="single"/>
          <w:vertAlign w:val="superscript"/>
        </w:rPr>
        <w:t>st</w:t>
      </w:r>
      <w:r w:rsidRPr="00457557">
        <w:rPr>
          <w:rFonts w:ascii="Cambria" w:hAnsi="Cambria"/>
          <w:sz w:val="24"/>
          <w:szCs w:val="24"/>
          <w:u w:val="single"/>
        </w:rPr>
        <w:t xml:space="preserve"> STEP</w:t>
      </w:r>
      <w:r w:rsidRPr="00457557">
        <w:rPr>
          <w:rFonts w:ascii="Cambria" w:hAnsi="Cambria"/>
          <w:sz w:val="24"/>
          <w:szCs w:val="24"/>
        </w:rPr>
        <w:t>: OCA Processor receives information from the YCDF and gathers information from the Full Court Repository</w:t>
      </w:r>
      <w:r>
        <w:rPr>
          <w:rFonts w:ascii="Cambria" w:hAnsi="Cambria"/>
          <w:sz w:val="24"/>
          <w:szCs w:val="24"/>
        </w:rPr>
        <w:t>,</w:t>
      </w:r>
      <w:r w:rsidRPr="00457557">
        <w:rPr>
          <w:rFonts w:ascii="Cambria" w:hAnsi="Cambria"/>
          <w:sz w:val="24"/>
          <w:szCs w:val="24"/>
        </w:rPr>
        <w:t xml:space="preserve"> CJIN, and CJIS information systems to complete the Public Safety Assessment (PSA).</w:t>
      </w:r>
    </w:p>
    <w:p w14:paraId="74B8A187" w14:textId="77777777" w:rsidR="00985431" w:rsidRPr="00457557" w:rsidRDefault="00985431" w:rsidP="00985431">
      <w:pPr>
        <w:pStyle w:val="ListParagraph"/>
        <w:rPr>
          <w:rFonts w:ascii="Cambria" w:hAnsi="Cambria"/>
          <w:sz w:val="24"/>
          <w:szCs w:val="24"/>
        </w:rPr>
      </w:pPr>
    </w:p>
    <w:p w14:paraId="6A19BFF6" w14:textId="77777777" w:rsidR="00985431" w:rsidRPr="00457557" w:rsidRDefault="00985431" w:rsidP="00985431">
      <w:pPr>
        <w:pStyle w:val="ListParagraph"/>
        <w:numPr>
          <w:ilvl w:val="0"/>
          <w:numId w:val="46"/>
        </w:numPr>
        <w:rPr>
          <w:rFonts w:ascii="Cambria" w:hAnsi="Cambria"/>
          <w:sz w:val="24"/>
          <w:szCs w:val="24"/>
        </w:rPr>
      </w:pPr>
      <w:r w:rsidRPr="00457557">
        <w:rPr>
          <w:rFonts w:ascii="Cambria" w:hAnsi="Cambria"/>
          <w:sz w:val="24"/>
          <w:szCs w:val="24"/>
          <w:u w:val="single"/>
        </w:rPr>
        <w:t>PSA 2</w:t>
      </w:r>
      <w:r w:rsidRPr="00457557">
        <w:rPr>
          <w:rFonts w:ascii="Cambria" w:hAnsi="Cambria"/>
          <w:sz w:val="24"/>
          <w:szCs w:val="24"/>
          <w:u w:val="single"/>
          <w:vertAlign w:val="superscript"/>
        </w:rPr>
        <w:t>nd</w:t>
      </w:r>
      <w:r w:rsidRPr="00457557">
        <w:rPr>
          <w:rFonts w:ascii="Cambria" w:hAnsi="Cambria"/>
          <w:sz w:val="24"/>
          <w:szCs w:val="24"/>
          <w:u w:val="single"/>
        </w:rPr>
        <w:t xml:space="preserve"> STEP</w:t>
      </w:r>
      <w:r w:rsidRPr="00457557">
        <w:rPr>
          <w:rFonts w:ascii="Cambria" w:hAnsi="Cambria"/>
          <w:sz w:val="24"/>
          <w:szCs w:val="24"/>
        </w:rPr>
        <w:t xml:space="preserve">: OCA Processor completes the PSA and the results will be entered into </w:t>
      </w:r>
      <w:r>
        <w:rPr>
          <w:rFonts w:ascii="Cambria" w:hAnsi="Cambria"/>
          <w:sz w:val="24"/>
          <w:szCs w:val="24"/>
        </w:rPr>
        <w:t xml:space="preserve">the </w:t>
      </w:r>
      <w:r w:rsidRPr="00457557">
        <w:rPr>
          <w:rFonts w:ascii="Cambria" w:hAnsi="Cambria"/>
          <w:sz w:val="24"/>
          <w:szCs w:val="24"/>
        </w:rPr>
        <w:t>AutoMon system at least two hours prior to initial appearances in Billings Municipal Court, Laurel City Court, and Yellowstone County Justice Court (and appearances in Yellowstone County District Court, when appropriate).</w:t>
      </w:r>
    </w:p>
    <w:p w14:paraId="78E62D62" w14:textId="77777777" w:rsidR="00985431" w:rsidRPr="00457557" w:rsidRDefault="00985431" w:rsidP="00985431">
      <w:pPr>
        <w:pStyle w:val="ListParagraph"/>
        <w:rPr>
          <w:rFonts w:ascii="Cambria" w:hAnsi="Cambria"/>
          <w:sz w:val="24"/>
          <w:szCs w:val="24"/>
        </w:rPr>
      </w:pPr>
    </w:p>
    <w:p w14:paraId="316813D2" w14:textId="77777777" w:rsidR="00985431" w:rsidRPr="00457557" w:rsidRDefault="00985431" w:rsidP="00985431">
      <w:pPr>
        <w:pStyle w:val="ListParagraph"/>
        <w:numPr>
          <w:ilvl w:val="0"/>
          <w:numId w:val="46"/>
        </w:numPr>
        <w:rPr>
          <w:rFonts w:ascii="Cambria" w:hAnsi="Cambria"/>
          <w:sz w:val="24"/>
          <w:szCs w:val="24"/>
        </w:rPr>
      </w:pPr>
      <w:r w:rsidRPr="00457557">
        <w:rPr>
          <w:rFonts w:ascii="Cambria" w:hAnsi="Cambria"/>
          <w:sz w:val="24"/>
          <w:szCs w:val="24"/>
          <w:u w:val="single"/>
        </w:rPr>
        <w:t>PSA 3</w:t>
      </w:r>
      <w:r w:rsidRPr="00457557">
        <w:rPr>
          <w:rFonts w:ascii="Cambria" w:hAnsi="Cambria"/>
          <w:sz w:val="24"/>
          <w:szCs w:val="24"/>
          <w:u w:val="single"/>
          <w:vertAlign w:val="superscript"/>
        </w:rPr>
        <w:t>rd</w:t>
      </w:r>
      <w:r w:rsidRPr="00457557">
        <w:rPr>
          <w:rFonts w:ascii="Cambria" w:hAnsi="Cambria"/>
          <w:sz w:val="24"/>
          <w:szCs w:val="24"/>
          <w:u w:val="single"/>
        </w:rPr>
        <w:t xml:space="preserve"> STEP</w:t>
      </w:r>
      <w:r w:rsidRPr="00457557">
        <w:rPr>
          <w:rFonts w:ascii="Cambria" w:hAnsi="Cambria"/>
          <w:sz w:val="24"/>
          <w:szCs w:val="24"/>
        </w:rPr>
        <w:t xml:space="preserve">: The Judicial Officer </w:t>
      </w:r>
      <w:r w:rsidRPr="00457557">
        <w:rPr>
          <w:rFonts w:ascii="Cambria" w:hAnsi="Cambria"/>
          <w:i/>
          <w:sz w:val="24"/>
          <w:szCs w:val="24"/>
        </w:rPr>
        <w:t>(judge or judge’s staff)</w:t>
      </w:r>
      <w:r w:rsidRPr="00457557">
        <w:rPr>
          <w:rFonts w:ascii="Cambria" w:hAnsi="Cambria"/>
          <w:sz w:val="24"/>
          <w:szCs w:val="24"/>
        </w:rPr>
        <w:t xml:space="preserve"> retrieves the PSA file from AutoMon to review and/or print the results prior to the initial appearance. Approved staff in the County Attorney’s Office</w:t>
      </w:r>
      <w:r>
        <w:rPr>
          <w:rFonts w:ascii="Cambria" w:hAnsi="Cambria"/>
          <w:sz w:val="24"/>
          <w:szCs w:val="24"/>
        </w:rPr>
        <w:t xml:space="preserve"> and </w:t>
      </w:r>
      <w:r w:rsidRPr="00457557">
        <w:rPr>
          <w:rFonts w:ascii="Cambria" w:hAnsi="Cambria"/>
          <w:sz w:val="24"/>
          <w:szCs w:val="24"/>
        </w:rPr>
        <w:t xml:space="preserve">the Office of the Public Defender </w:t>
      </w:r>
      <w:r>
        <w:rPr>
          <w:rFonts w:ascii="Cambria" w:hAnsi="Cambria"/>
          <w:sz w:val="24"/>
          <w:szCs w:val="24"/>
        </w:rPr>
        <w:t>(</w:t>
      </w:r>
      <w:r w:rsidRPr="00457557">
        <w:rPr>
          <w:rFonts w:ascii="Cambria" w:hAnsi="Cambria"/>
          <w:sz w:val="24"/>
          <w:szCs w:val="24"/>
        </w:rPr>
        <w:t>or the defendant’s private attorney</w:t>
      </w:r>
      <w:r>
        <w:rPr>
          <w:rFonts w:ascii="Cambria" w:hAnsi="Cambria"/>
          <w:sz w:val="24"/>
          <w:szCs w:val="24"/>
        </w:rPr>
        <w:t>)</w:t>
      </w:r>
      <w:r w:rsidRPr="00457557">
        <w:rPr>
          <w:rFonts w:ascii="Cambria" w:hAnsi="Cambria"/>
          <w:sz w:val="24"/>
          <w:szCs w:val="24"/>
        </w:rPr>
        <w:t xml:space="preserve"> also ha</w:t>
      </w:r>
      <w:r>
        <w:rPr>
          <w:rFonts w:ascii="Cambria" w:hAnsi="Cambria"/>
          <w:sz w:val="24"/>
          <w:szCs w:val="24"/>
        </w:rPr>
        <w:t>ve</w:t>
      </w:r>
      <w:r w:rsidRPr="00457557">
        <w:rPr>
          <w:rFonts w:ascii="Cambria" w:hAnsi="Cambria"/>
          <w:sz w:val="24"/>
          <w:szCs w:val="24"/>
        </w:rPr>
        <w:t xml:space="preserve"> access to and can retrieve the PSA file from AutoMon to review assessment results prior to the initial appearance.</w:t>
      </w:r>
    </w:p>
    <w:p w14:paraId="00CD25A7" w14:textId="77777777" w:rsidR="00985431" w:rsidRPr="00457557" w:rsidRDefault="00985431" w:rsidP="00985431">
      <w:pPr>
        <w:rPr>
          <w:rFonts w:ascii="Cambria" w:hAnsi="Cambria"/>
          <w:sz w:val="24"/>
          <w:szCs w:val="24"/>
        </w:rPr>
      </w:pPr>
    </w:p>
    <w:p w14:paraId="592A1A49" w14:textId="77777777" w:rsidR="00985431" w:rsidRPr="00457557" w:rsidRDefault="00985431" w:rsidP="00985431">
      <w:pPr>
        <w:pStyle w:val="ListParagraph"/>
        <w:numPr>
          <w:ilvl w:val="0"/>
          <w:numId w:val="46"/>
        </w:numPr>
        <w:rPr>
          <w:rFonts w:ascii="Cambria" w:hAnsi="Cambria"/>
          <w:sz w:val="24"/>
          <w:szCs w:val="24"/>
        </w:rPr>
      </w:pPr>
      <w:r w:rsidRPr="00457557">
        <w:rPr>
          <w:rFonts w:ascii="Cambria" w:hAnsi="Cambria"/>
          <w:sz w:val="24"/>
          <w:szCs w:val="24"/>
          <w:u w:val="single"/>
        </w:rPr>
        <w:t>JUDGE’S REVIEW</w:t>
      </w:r>
      <w:r w:rsidRPr="00457557">
        <w:rPr>
          <w:rFonts w:ascii="Cambria" w:hAnsi="Cambria"/>
          <w:sz w:val="24"/>
          <w:szCs w:val="24"/>
        </w:rPr>
        <w:t xml:space="preserve">: The Judicial Officer reviews: the scored PSA, the Matrix of Presumptive Pretrial Conditions, and the Presumptive </w:t>
      </w:r>
      <w:r w:rsidRPr="00457557">
        <w:rPr>
          <w:rFonts w:ascii="Cambria" w:hAnsi="Cambria"/>
          <w:sz w:val="24"/>
          <w:szCs w:val="24"/>
        </w:rPr>
        <w:lastRenderedPageBreak/>
        <w:t xml:space="preserve">Release Activities and Conditions, related to the individual defendant.  The Judicial Officer utilizes the aforementioned documents as part of his/her decision to detain or release the defendant.  </w:t>
      </w:r>
      <w:r w:rsidRPr="00457557">
        <w:rPr>
          <w:rFonts w:ascii="Cambria" w:hAnsi="Cambria" w:cstheme="minorHAnsi"/>
          <w:sz w:val="24"/>
          <w:szCs w:val="24"/>
        </w:rPr>
        <w:t xml:space="preserve">The Judicial Officer has the discretion to deviate from the Matrix’s presumptive release conditions. </w:t>
      </w:r>
      <w:r w:rsidRPr="00457557">
        <w:rPr>
          <w:rFonts w:ascii="Cambria" w:hAnsi="Cambria"/>
          <w:sz w:val="24"/>
          <w:szCs w:val="24"/>
        </w:rPr>
        <w:t xml:space="preserve"> If the Judicial Officer deviates from the Matrix, </w:t>
      </w:r>
      <w:r>
        <w:rPr>
          <w:rFonts w:ascii="Cambria" w:hAnsi="Cambria"/>
          <w:sz w:val="24"/>
          <w:szCs w:val="24"/>
        </w:rPr>
        <w:br/>
      </w:r>
      <w:r w:rsidRPr="00457557">
        <w:rPr>
          <w:rFonts w:ascii="Cambria" w:hAnsi="Cambria"/>
          <w:sz w:val="24"/>
          <w:szCs w:val="24"/>
        </w:rPr>
        <w:t>s/he documents the reason for that decision.</w:t>
      </w:r>
    </w:p>
    <w:p w14:paraId="3F3F3937" w14:textId="77777777" w:rsidR="00985431" w:rsidRPr="00457557" w:rsidRDefault="00985431" w:rsidP="00985431">
      <w:pPr>
        <w:pStyle w:val="ListParagraph"/>
        <w:rPr>
          <w:rFonts w:ascii="Cambria" w:hAnsi="Cambria"/>
          <w:sz w:val="24"/>
          <w:szCs w:val="24"/>
        </w:rPr>
      </w:pPr>
    </w:p>
    <w:p w14:paraId="7782B7FD" w14:textId="77777777" w:rsidR="00985431" w:rsidRPr="003C4FF3" w:rsidRDefault="00985431" w:rsidP="00985431">
      <w:pPr>
        <w:pStyle w:val="ListParagraph"/>
        <w:numPr>
          <w:ilvl w:val="0"/>
          <w:numId w:val="46"/>
        </w:numPr>
        <w:rPr>
          <w:rFonts w:ascii="Cambria" w:hAnsi="Cambria"/>
          <w:sz w:val="24"/>
          <w:szCs w:val="24"/>
        </w:rPr>
      </w:pPr>
      <w:r w:rsidRPr="003C4FF3">
        <w:rPr>
          <w:rFonts w:ascii="Cambria" w:hAnsi="Cambria"/>
          <w:sz w:val="24"/>
          <w:szCs w:val="24"/>
          <w:u w:val="single"/>
        </w:rPr>
        <w:t>INFO ENTERED INTO AUTOMON</w:t>
      </w:r>
      <w:r w:rsidRPr="003C4FF3">
        <w:rPr>
          <w:rFonts w:ascii="Cambria" w:hAnsi="Cambria"/>
          <w:sz w:val="24"/>
          <w:szCs w:val="24"/>
        </w:rPr>
        <w:t>: Pretrial staff (either City or County, as appropriate) [or outside contractor] enter the results of hearings into AutoMon, including the conditions and requirements of the release decision(s) as well as any Failures to Appear.  Entries must include designation of the next scheduled court appearance(s) and court reminder(s) must be set for notification via AutoMon.</w:t>
      </w:r>
    </w:p>
    <w:p w14:paraId="6CD949E9" w14:textId="77777777" w:rsidR="00985431" w:rsidRPr="003C4FF3" w:rsidRDefault="00985431" w:rsidP="00985431">
      <w:pPr>
        <w:pStyle w:val="ListParagraph"/>
        <w:rPr>
          <w:rFonts w:ascii="Cambria" w:hAnsi="Cambria"/>
          <w:sz w:val="24"/>
          <w:szCs w:val="24"/>
        </w:rPr>
      </w:pPr>
    </w:p>
    <w:p w14:paraId="66F56A26" w14:textId="77777777" w:rsidR="00985431" w:rsidRPr="00457557" w:rsidRDefault="00985431" w:rsidP="00985431">
      <w:pPr>
        <w:pStyle w:val="ListParagraph"/>
        <w:numPr>
          <w:ilvl w:val="0"/>
          <w:numId w:val="46"/>
        </w:numPr>
        <w:rPr>
          <w:rFonts w:ascii="Cambria" w:hAnsi="Cambria"/>
          <w:sz w:val="24"/>
          <w:szCs w:val="24"/>
        </w:rPr>
      </w:pPr>
      <w:r w:rsidRPr="003C4FF3">
        <w:rPr>
          <w:rFonts w:ascii="Cambria" w:hAnsi="Cambria"/>
          <w:sz w:val="24"/>
          <w:szCs w:val="24"/>
          <w:u w:val="single"/>
        </w:rPr>
        <w:t>PRETRIAL SUPERVISION</w:t>
      </w:r>
      <w:r w:rsidRPr="003C4FF3">
        <w:rPr>
          <w:rFonts w:ascii="Cambria" w:hAnsi="Cambria"/>
          <w:sz w:val="24"/>
          <w:szCs w:val="24"/>
        </w:rPr>
        <w:t>: Pretrial staff [or outside contractor] records and maintains activities related to the conditions of pretrial release into the AutoMon system. If the defendant is released, the Pretrial Case Manager will develop an appropriate case management plan and enter</w:t>
      </w:r>
      <w:r w:rsidRPr="00457557">
        <w:rPr>
          <w:rFonts w:ascii="Cambria" w:hAnsi="Cambria"/>
          <w:sz w:val="24"/>
          <w:szCs w:val="24"/>
        </w:rPr>
        <w:t xml:space="preserve"> the plan into AutoMon.</w:t>
      </w:r>
    </w:p>
    <w:p w14:paraId="6FF63368" w14:textId="77777777" w:rsidR="00985431" w:rsidRPr="00457557" w:rsidRDefault="00985431" w:rsidP="00985431">
      <w:pPr>
        <w:pStyle w:val="ListParagraph"/>
        <w:rPr>
          <w:rFonts w:ascii="Cambria" w:hAnsi="Cambria"/>
          <w:sz w:val="24"/>
          <w:szCs w:val="24"/>
        </w:rPr>
      </w:pPr>
    </w:p>
    <w:p w14:paraId="531F036F" w14:textId="77777777" w:rsidR="00985431" w:rsidRPr="00457557" w:rsidRDefault="00985431" w:rsidP="00985431">
      <w:pPr>
        <w:pStyle w:val="ListParagraph"/>
        <w:numPr>
          <w:ilvl w:val="0"/>
          <w:numId w:val="46"/>
        </w:numPr>
        <w:rPr>
          <w:rFonts w:ascii="Cambria" w:hAnsi="Cambria"/>
          <w:sz w:val="24"/>
          <w:szCs w:val="24"/>
        </w:rPr>
      </w:pPr>
      <w:r w:rsidRPr="00457557">
        <w:rPr>
          <w:rFonts w:ascii="Cambria" w:hAnsi="Cambria"/>
          <w:sz w:val="24"/>
          <w:szCs w:val="24"/>
          <w:u w:val="single"/>
        </w:rPr>
        <w:t>OCA VALIDATION</w:t>
      </w:r>
      <w:r w:rsidRPr="00457557">
        <w:rPr>
          <w:rFonts w:ascii="Cambria" w:hAnsi="Cambria"/>
          <w:sz w:val="24"/>
          <w:szCs w:val="24"/>
        </w:rPr>
        <w:t xml:space="preserve">: The OCA Processor validates the AutoMon entry to ensure the defendant is entered </w:t>
      </w:r>
      <w:r>
        <w:rPr>
          <w:rFonts w:ascii="Cambria" w:hAnsi="Cambria"/>
          <w:sz w:val="24"/>
          <w:szCs w:val="24"/>
        </w:rPr>
        <w:t xml:space="preserve">appropriately </w:t>
      </w:r>
      <w:r w:rsidRPr="00457557">
        <w:rPr>
          <w:rFonts w:ascii="Cambria" w:hAnsi="Cambria"/>
          <w:sz w:val="24"/>
          <w:szCs w:val="24"/>
        </w:rPr>
        <w:t xml:space="preserve">into the system. The OCA Processor will run a CJIN check every 30 days for offenders under pretrial supervision </w:t>
      </w:r>
      <w:r>
        <w:rPr>
          <w:rFonts w:ascii="Cambria" w:hAnsi="Cambria"/>
          <w:sz w:val="24"/>
          <w:szCs w:val="24"/>
        </w:rPr>
        <w:t xml:space="preserve">[i.e., </w:t>
      </w:r>
      <w:r w:rsidRPr="00BD2A74">
        <w:rPr>
          <w:rFonts w:ascii="Cambria" w:hAnsi="Cambria"/>
          <w:i/>
          <w:sz w:val="24"/>
          <w:szCs w:val="24"/>
        </w:rPr>
        <w:t>Passive</w:t>
      </w:r>
      <w:r>
        <w:rPr>
          <w:rFonts w:ascii="Cambria" w:hAnsi="Cambria"/>
          <w:sz w:val="24"/>
          <w:szCs w:val="24"/>
        </w:rPr>
        <w:t xml:space="preserve"> or </w:t>
      </w:r>
      <w:r w:rsidRPr="00BD2A74">
        <w:rPr>
          <w:rFonts w:ascii="Cambria" w:hAnsi="Cambria"/>
          <w:i/>
          <w:sz w:val="24"/>
          <w:szCs w:val="24"/>
        </w:rPr>
        <w:t>Active</w:t>
      </w:r>
      <w:r>
        <w:rPr>
          <w:rFonts w:ascii="Cambria" w:hAnsi="Cambria"/>
          <w:sz w:val="24"/>
          <w:szCs w:val="24"/>
        </w:rPr>
        <w:t xml:space="preserve">] </w:t>
      </w:r>
      <w:r w:rsidRPr="00457557">
        <w:rPr>
          <w:rFonts w:ascii="Cambria" w:hAnsi="Cambria"/>
          <w:sz w:val="24"/>
          <w:szCs w:val="24"/>
        </w:rPr>
        <w:t xml:space="preserve">and will notify the Pretrial Case Manager if new charges are noted. </w:t>
      </w:r>
    </w:p>
    <w:p w14:paraId="67D38D77" w14:textId="77777777" w:rsidR="00985431" w:rsidRPr="00457557" w:rsidRDefault="00985431" w:rsidP="00985431">
      <w:pPr>
        <w:pStyle w:val="ListParagraph"/>
        <w:rPr>
          <w:rFonts w:ascii="Cambria" w:hAnsi="Cambria"/>
          <w:sz w:val="24"/>
          <w:szCs w:val="24"/>
        </w:rPr>
      </w:pPr>
    </w:p>
    <w:p w14:paraId="39E70DC2" w14:textId="77777777" w:rsidR="00985431" w:rsidRPr="00457557" w:rsidRDefault="00985431" w:rsidP="00985431">
      <w:pPr>
        <w:pStyle w:val="ListParagraph"/>
        <w:numPr>
          <w:ilvl w:val="0"/>
          <w:numId w:val="46"/>
        </w:numPr>
        <w:rPr>
          <w:rFonts w:ascii="Cambria" w:hAnsi="Cambria"/>
          <w:sz w:val="24"/>
          <w:szCs w:val="24"/>
        </w:rPr>
      </w:pPr>
      <w:r w:rsidRPr="00457557">
        <w:rPr>
          <w:rFonts w:ascii="Cambria" w:hAnsi="Cambria"/>
          <w:sz w:val="24"/>
          <w:szCs w:val="24"/>
          <w:u w:val="single"/>
        </w:rPr>
        <w:t>PRETRIAL VIOLATIONS</w:t>
      </w:r>
      <w:r w:rsidRPr="00457557">
        <w:rPr>
          <w:rFonts w:ascii="Cambria" w:hAnsi="Cambria"/>
          <w:sz w:val="24"/>
          <w:szCs w:val="24"/>
        </w:rPr>
        <w:t xml:space="preserve">:  If a defendant violates the terms of </w:t>
      </w:r>
      <w:r>
        <w:rPr>
          <w:rFonts w:ascii="Cambria" w:hAnsi="Cambria"/>
          <w:sz w:val="24"/>
          <w:szCs w:val="24"/>
        </w:rPr>
        <w:t>his/her</w:t>
      </w:r>
      <w:r w:rsidRPr="00457557">
        <w:rPr>
          <w:rFonts w:ascii="Cambria" w:hAnsi="Cambria"/>
          <w:sz w:val="24"/>
          <w:szCs w:val="24"/>
        </w:rPr>
        <w:t xml:space="preserve"> pretrial supervision, the Pretrial Case Manager will document th</w:t>
      </w:r>
      <w:r>
        <w:rPr>
          <w:rFonts w:ascii="Cambria" w:hAnsi="Cambria"/>
          <w:sz w:val="24"/>
          <w:szCs w:val="24"/>
        </w:rPr>
        <w:t>e</w:t>
      </w:r>
      <w:r w:rsidRPr="00457557">
        <w:rPr>
          <w:rFonts w:ascii="Cambria" w:hAnsi="Cambria"/>
          <w:sz w:val="24"/>
          <w:szCs w:val="24"/>
        </w:rPr>
        <w:t xml:space="preserve"> violation</w:t>
      </w:r>
      <w:r>
        <w:rPr>
          <w:rFonts w:ascii="Cambria" w:hAnsi="Cambria"/>
          <w:sz w:val="24"/>
          <w:szCs w:val="24"/>
        </w:rPr>
        <w:t>(</w:t>
      </w:r>
      <w:r w:rsidRPr="00457557">
        <w:rPr>
          <w:rFonts w:ascii="Cambria" w:hAnsi="Cambria"/>
          <w:sz w:val="24"/>
          <w:szCs w:val="24"/>
        </w:rPr>
        <w:t>s</w:t>
      </w:r>
      <w:r>
        <w:rPr>
          <w:rFonts w:ascii="Cambria" w:hAnsi="Cambria"/>
          <w:sz w:val="24"/>
          <w:szCs w:val="24"/>
        </w:rPr>
        <w:t>)</w:t>
      </w:r>
      <w:r w:rsidRPr="00457557">
        <w:rPr>
          <w:rFonts w:ascii="Cambria" w:hAnsi="Cambria"/>
          <w:sz w:val="24"/>
          <w:szCs w:val="24"/>
        </w:rPr>
        <w:t xml:space="preserve"> in AutoMon and assess the level of notification to the Court system as appropriate. </w:t>
      </w:r>
      <w:r w:rsidRPr="00457557">
        <w:rPr>
          <w:rFonts w:ascii="Cambria" w:hAnsi="Cambria"/>
          <w:i/>
          <w:sz w:val="24"/>
          <w:szCs w:val="24"/>
        </w:rPr>
        <w:t>[See Following Page]</w:t>
      </w:r>
    </w:p>
    <w:p w14:paraId="7007AB28" w14:textId="77777777" w:rsidR="00985431" w:rsidRPr="00457557" w:rsidRDefault="00985431" w:rsidP="00985431">
      <w:pPr>
        <w:pStyle w:val="ListParagraph"/>
        <w:rPr>
          <w:rFonts w:ascii="Cambria" w:hAnsi="Cambria"/>
          <w:sz w:val="24"/>
          <w:szCs w:val="24"/>
        </w:rPr>
      </w:pPr>
    </w:p>
    <w:p w14:paraId="713E1C02" w14:textId="77777777" w:rsidR="00985431" w:rsidRPr="00457557" w:rsidRDefault="00985431" w:rsidP="00985431">
      <w:pPr>
        <w:pStyle w:val="ListParagraph"/>
        <w:numPr>
          <w:ilvl w:val="0"/>
          <w:numId w:val="46"/>
        </w:numPr>
        <w:rPr>
          <w:rFonts w:ascii="Cambria" w:hAnsi="Cambria"/>
          <w:sz w:val="24"/>
          <w:szCs w:val="24"/>
        </w:rPr>
      </w:pPr>
      <w:r w:rsidRPr="00457557">
        <w:rPr>
          <w:rFonts w:ascii="Cambria" w:hAnsi="Cambria"/>
          <w:sz w:val="24"/>
          <w:szCs w:val="24"/>
          <w:u w:val="single"/>
        </w:rPr>
        <w:t>OCA REPORTING</w:t>
      </w:r>
      <w:r w:rsidRPr="00457557">
        <w:rPr>
          <w:rFonts w:ascii="Cambria" w:hAnsi="Cambria"/>
          <w:sz w:val="24"/>
          <w:szCs w:val="24"/>
        </w:rPr>
        <w:t>: The OCA Processor will monitor defendants for new bookings and will enter those into AutoMon.</w:t>
      </w:r>
    </w:p>
    <w:p w14:paraId="76C569F1" w14:textId="77777777" w:rsidR="00985431" w:rsidRPr="00457557" w:rsidRDefault="00985431" w:rsidP="00985431">
      <w:pPr>
        <w:pStyle w:val="ListParagraph"/>
        <w:rPr>
          <w:rFonts w:ascii="Cambria" w:hAnsi="Cambria"/>
          <w:sz w:val="24"/>
          <w:szCs w:val="24"/>
        </w:rPr>
      </w:pPr>
    </w:p>
    <w:p w14:paraId="0E7E2E14" w14:textId="77777777" w:rsidR="00985431" w:rsidRPr="00457557" w:rsidRDefault="00985431" w:rsidP="00985431">
      <w:pPr>
        <w:pStyle w:val="ListParagraph"/>
        <w:numPr>
          <w:ilvl w:val="0"/>
          <w:numId w:val="46"/>
        </w:numPr>
        <w:rPr>
          <w:rFonts w:ascii="Cambria" w:hAnsi="Cambria"/>
          <w:sz w:val="24"/>
          <w:szCs w:val="24"/>
        </w:rPr>
      </w:pPr>
      <w:r w:rsidRPr="00457557">
        <w:rPr>
          <w:rFonts w:ascii="Cambria" w:hAnsi="Cambria"/>
          <w:sz w:val="24"/>
          <w:szCs w:val="24"/>
          <w:u w:val="single"/>
        </w:rPr>
        <w:t>PRETRIAL SUPERVISION ENDS</w:t>
      </w:r>
      <w:r w:rsidRPr="00457557">
        <w:rPr>
          <w:rFonts w:ascii="Cambria" w:hAnsi="Cambria"/>
          <w:sz w:val="24"/>
          <w:szCs w:val="24"/>
        </w:rPr>
        <w:t xml:space="preserve">: </w:t>
      </w:r>
      <w:r>
        <w:rPr>
          <w:rFonts w:ascii="Cambria" w:hAnsi="Cambria"/>
          <w:sz w:val="24"/>
          <w:szCs w:val="24"/>
        </w:rPr>
        <w:t xml:space="preserve">At the point that </w:t>
      </w:r>
      <w:r w:rsidRPr="00457557">
        <w:rPr>
          <w:rFonts w:ascii="Cambria" w:hAnsi="Cambria"/>
          <w:sz w:val="24"/>
          <w:szCs w:val="24"/>
        </w:rPr>
        <w:t>the defendant</w:t>
      </w:r>
      <w:r>
        <w:rPr>
          <w:rFonts w:ascii="Cambria" w:hAnsi="Cambria"/>
          <w:sz w:val="24"/>
          <w:szCs w:val="24"/>
        </w:rPr>
        <w:t>’s case</w:t>
      </w:r>
      <w:r w:rsidRPr="00457557">
        <w:rPr>
          <w:rFonts w:ascii="Cambria" w:hAnsi="Cambria"/>
          <w:sz w:val="24"/>
          <w:szCs w:val="24"/>
        </w:rPr>
        <w:t xml:space="preserve"> is no longer </w:t>
      </w:r>
      <w:r>
        <w:rPr>
          <w:rFonts w:ascii="Cambria" w:hAnsi="Cambria"/>
          <w:sz w:val="24"/>
          <w:szCs w:val="24"/>
        </w:rPr>
        <w:t>i</w:t>
      </w:r>
      <w:r w:rsidRPr="00457557">
        <w:rPr>
          <w:rFonts w:ascii="Cambria" w:hAnsi="Cambria"/>
          <w:sz w:val="24"/>
          <w:szCs w:val="24"/>
        </w:rPr>
        <w:t>n pretrial status</w:t>
      </w:r>
      <w:r>
        <w:rPr>
          <w:rFonts w:ascii="Cambria" w:hAnsi="Cambria"/>
          <w:sz w:val="24"/>
          <w:szCs w:val="24"/>
        </w:rPr>
        <w:t>, the Pretrial Case Manager enters t</w:t>
      </w:r>
      <w:r w:rsidRPr="00457557">
        <w:rPr>
          <w:rFonts w:ascii="Cambria" w:hAnsi="Cambria"/>
          <w:sz w:val="24"/>
          <w:szCs w:val="24"/>
        </w:rPr>
        <w:t xml:space="preserve">he final disposition of the </w:t>
      </w:r>
      <w:r>
        <w:rPr>
          <w:rFonts w:ascii="Cambria" w:hAnsi="Cambria"/>
          <w:sz w:val="24"/>
          <w:szCs w:val="24"/>
        </w:rPr>
        <w:t>case</w:t>
      </w:r>
      <w:r w:rsidRPr="00457557">
        <w:rPr>
          <w:rFonts w:ascii="Cambria" w:hAnsi="Cambria"/>
          <w:sz w:val="24"/>
          <w:szCs w:val="24"/>
        </w:rPr>
        <w:t xml:space="preserve"> into AutoMon</w:t>
      </w:r>
      <w:r>
        <w:rPr>
          <w:rFonts w:ascii="Cambria" w:hAnsi="Cambria"/>
          <w:sz w:val="24"/>
          <w:szCs w:val="24"/>
        </w:rPr>
        <w:t>.</w:t>
      </w:r>
      <w:r w:rsidRPr="00457557">
        <w:rPr>
          <w:rFonts w:ascii="Cambria" w:hAnsi="Cambria"/>
          <w:sz w:val="24"/>
          <w:szCs w:val="24"/>
        </w:rPr>
        <w:t xml:space="preserve"> </w:t>
      </w:r>
    </w:p>
    <w:p w14:paraId="19BA5B8F" w14:textId="77777777" w:rsidR="00985431" w:rsidRPr="00457557" w:rsidRDefault="00985431" w:rsidP="00985431">
      <w:pPr>
        <w:rPr>
          <w:rFonts w:ascii="Cambria" w:hAnsi="Cambria"/>
          <w:sz w:val="24"/>
          <w:szCs w:val="24"/>
        </w:rPr>
      </w:pPr>
    </w:p>
    <w:p w14:paraId="1D572976" w14:textId="77777777" w:rsidR="00985431" w:rsidRPr="00457557" w:rsidRDefault="00985431" w:rsidP="00985431">
      <w:pPr>
        <w:rPr>
          <w:rFonts w:ascii="Cambria" w:hAnsi="Cambria" w:cstheme="minorHAnsi"/>
          <w:b/>
          <w:sz w:val="24"/>
          <w:szCs w:val="24"/>
        </w:rPr>
      </w:pPr>
      <w:r w:rsidRPr="00457557">
        <w:rPr>
          <w:rFonts w:ascii="Cambria" w:hAnsi="Cambria" w:cstheme="minorHAnsi"/>
          <w:b/>
          <w:sz w:val="24"/>
          <w:szCs w:val="24"/>
        </w:rPr>
        <w:t>Pretrial Supervision Violation Notification</w:t>
      </w:r>
    </w:p>
    <w:p w14:paraId="33DE434C" w14:textId="77777777" w:rsidR="00985431" w:rsidRPr="00457557" w:rsidRDefault="00985431" w:rsidP="00985431">
      <w:pPr>
        <w:ind w:left="360"/>
        <w:rPr>
          <w:rFonts w:ascii="Cambria" w:hAnsi="Cambria" w:cstheme="minorHAnsi"/>
          <w:sz w:val="24"/>
          <w:szCs w:val="24"/>
          <w:u w:val="single"/>
        </w:rPr>
      </w:pPr>
      <w:r w:rsidRPr="00457557">
        <w:rPr>
          <w:rFonts w:ascii="Cambria" w:hAnsi="Cambria" w:cstheme="minorHAnsi"/>
          <w:sz w:val="24"/>
          <w:szCs w:val="24"/>
          <w:u w:val="single"/>
        </w:rPr>
        <w:lastRenderedPageBreak/>
        <w:t xml:space="preserve">Minor Violation: Pretrial Case Manager </w:t>
      </w:r>
      <w:r>
        <w:rPr>
          <w:rFonts w:ascii="Cambria" w:hAnsi="Cambria" w:cstheme="minorHAnsi"/>
          <w:sz w:val="24"/>
          <w:szCs w:val="24"/>
          <w:u w:val="single"/>
        </w:rPr>
        <w:t>R</w:t>
      </w:r>
      <w:r w:rsidRPr="00457557">
        <w:rPr>
          <w:rFonts w:ascii="Cambria" w:hAnsi="Cambria" w:cstheme="minorHAnsi"/>
          <w:sz w:val="24"/>
          <w:szCs w:val="24"/>
          <w:u w:val="single"/>
        </w:rPr>
        <w:t>eview</w:t>
      </w:r>
    </w:p>
    <w:p w14:paraId="70C8939F" w14:textId="77777777" w:rsidR="00985431" w:rsidRPr="00457557" w:rsidRDefault="00985431" w:rsidP="00985431">
      <w:pPr>
        <w:pStyle w:val="ListParagraph"/>
        <w:numPr>
          <w:ilvl w:val="0"/>
          <w:numId w:val="47"/>
        </w:numPr>
        <w:tabs>
          <w:tab w:val="left" w:pos="720"/>
        </w:tabs>
        <w:spacing w:after="80" w:line="240" w:lineRule="auto"/>
        <w:ind w:left="900"/>
        <w:contextualSpacing w:val="0"/>
        <w:rPr>
          <w:rFonts w:ascii="Cambria" w:hAnsi="Cambria" w:cstheme="minorHAnsi"/>
          <w:sz w:val="24"/>
          <w:szCs w:val="24"/>
        </w:rPr>
      </w:pPr>
      <w:r w:rsidRPr="00457557">
        <w:rPr>
          <w:rFonts w:ascii="Cambria" w:hAnsi="Cambria" w:cstheme="minorHAnsi"/>
          <w:sz w:val="24"/>
          <w:szCs w:val="24"/>
        </w:rPr>
        <w:t xml:space="preserve">Failure to </w:t>
      </w:r>
      <w:r>
        <w:rPr>
          <w:rFonts w:ascii="Cambria" w:hAnsi="Cambria" w:cstheme="minorHAnsi"/>
          <w:sz w:val="24"/>
          <w:szCs w:val="24"/>
        </w:rPr>
        <w:t>complete Check-In</w:t>
      </w:r>
      <w:r w:rsidRPr="00457557">
        <w:rPr>
          <w:rFonts w:ascii="Cambria" w:hAnsi="Cambria" w:cstheme="minorHAnsi"/>
          <w:sz w:val="24"/>
          <w:szCs w:val="24"/>
        </w:rPr>
        <w:t xml:space="preserve"> 1 time to Pretrial Case Manager (or monitoring provider, if applicable)</w:t>
      </w:r>
      <w:r>
        <w:rPr>
          <w:rFonts w:ascii="Cambria" w:hAnsi="Cambria" w:cstheme="minorHAnsi"/>
          <w:sz w:val="24"/>
          <w:szCs w:val="24"/>
        </w:rPr>
        <w:t xml:space="preserve"> </w:t>
      </w:r>
      <w:r>
        <w:rPr>
          <w:rFonts w:ascii="Cambria" w:hAnsi="Cambria" w:cstheme="minorHAnsi"/>
          <w:i/>
          <w:sz w:val="24"/>
          <w:szCs w:val="24"/>
        </w:rPr>
        <w:t>[applies to Monitoring Levels 2 &amp; 3, Active, only]</w:t>
      </w:r>
    </w:p>
    <w:p w14:paraId="59D432DF" w14:textId="77777777" w:rsidR="00985431" w:rsidRPr="00457557" w:rsidRDefault="00985431" w:rsidP="00985431">
      <w:pPr>
        <w:pStyle w:val="ListParagraph"/>
        <w:numPr>
          <w:ilvl w:val="0"/>
          <w:numId w:val="47"/>
        </w:numPr>
        <w:spacing w:after="240" w:line="240" w:lineRule="auto"/>
        <w:ind w:left="734" w:hanging="187"/>
        <w:contextualSpacing w:val="0"/>
        <w:rPr>
          <w:rFonts w:ascii="Cambria" w:hAnsi="Cambria" w:cstheme="minorHAnsi"/>
          <w:sz w:val="24"/>
          <w:szCs w:val="24"/>
        </w:rPr>
      </w:pPr>
      <w:r w:rsidRPr="00457557">
        <w:rPr>
          <w:rFonts w:ascii="Cambria" w:hAnsi="Cambria" w:cstheme="minorHAnsi"/>
          <w:sz w:val="24"/>
          <w:szCs w:val="24"/>
        </w:rPr>
        <w:t>Failure to report for UA/BA testing</w:t>
      </w:r>
      <w:r>
        <w:rPr>
          <w:rFonts w:ascii="Cambria" w:hAnsi="Cambria" w:cstheme="minorHAnsi"/>
          <w:sz w:val="24"/>
          <w:szCs w:val="24"/>
        </w:rPr>
        <w:t xml:space="preserve"> </w:t>
      </w:r>
      <w:r>
        <w:rPr>
          <w:rFonts w:ascii="Cambria" w:hAnsi="Cambria" w:cstheme="minorHAnsi"/>
          <w:i/>
          <w:sz w:val="24"/>
          <w:szCs w:val="24"/>
        </w:rPr>
        <w:t>[applies to Monitoring Levels 2 &amp; 3, Active, only]</w:t>
      </w:r>
    </w:p>
    <w:p w14:paraId="3CB07572" w14:textId="77777777" w:rsidR="00985431" w:rsidRPr="00457557" w:rsidRDefault="00985431" w:rsidP="00985431">
      <w:pPr>
        <w:ind w:left="360"/>
        <w:rPr>
          <w:rFonts w:ascii="Cambria" w:hAnsi="Cambria" w:cstheme="minorHAnsi"/>
          <w:sz w:val="24"/>
          <w:szCs w:val="24"/>
          <w:u w:val="single"/>
        </w:rPr>
      </w:pPr>
      <w:r w:rsidRPr="00457557">
        <w:rPr>
          <w:rFonts w:ascii="Cambria" w:hAnsi="Cambria" w:cstheme="minorHAnsi"/>
          <w:sz w:val="24"/>
          <w:szCs w:val="24"/>
          <w:u w:val="single"/>
        </w:rPr>
        <w:t>Moderate Violation: Reported to County Attorney and Defense Attorney</w:t>
      </w:r>
    </w:p>
    <w:p w14:paraId="5896677C" w14:textId="77777777" w:rsidR="00985431" w:rsidRPr="00457557" w:rsidRDefault="00985431" w:rsidP="00985431">
      <w:pPr>
        <w:pStyle w:val="ListParagraph"/>
        <w:numPr>
          <w:ilvl w:val="0"/>
          <w:numId w:val="47"/>
        </w:numPr>
        <w:tabs>
          <w:tab w:val="left" w:pos="720"/>
        </w:tabs>
        <w:spacing w:after="80" w:line="240" w:lineRule="auto"/>
        <w:ind w:left="900"/>
        <w:contextualSpacing w:val="0"/>
        <w:rPr>
          <w:rFonts w:ascii="Cambria" w:hAnsi="Cambria" w:cstheme="minorHAnsi"/>
          <w:sz w:val="24"/>
          <w:szCs w:val="24"/>
        </w:rPr>
      </w:pPr>
      <w:r w:rsidRPr="00457557">
        <w:rPr>
          <w:rFonts w:ascii="Cambria" w:hAnsi="Cambria" w:cstheme="minorHAnsi"/>
          <w:sz w:val="24"/>
          <w:szCs w:val="24"/>
        </w:rPr>
        <w:t xml:space="preserve">Failure to </w:t>
      </w:r>
      <w:r>
        <w:rPr>
          <w:rFonts w:ascii="Cambria" w:hAnsi="Cambria" w:cstheme="minorHAnsi"/>
          <w:sz w:val="24"/>
          <w:szCs w:val="24"/>
        </w:rPr>
        <w:t>complete Check-In</w:t>
      </w:r>
      <w:r w:rsidRPr="00457557">
        <w:rPr>
          <w:rFonts w:ascii="Cambria" w:hAnsi="Cambria" w:cstheme="minorHAnsi"/>
          <w:sz w:val="24"/>
          <w:szCs w:val="24"/>
        </w:rPr>
        <w:t xml:space="preserve"> 2+ times to Pretrial Case Manager (or monitoring provider, if applicable) </w:t>
      </w:r>
      <w:r>
        <w:rPr>
          <w:rFonts w:ascii="Cambria" w:hAnsi="Cambria" w:cstheme="minorHAnsi"/>
          <w:i/>
          <w:sz w:val="24"/>
          <w:szCs w:val="24"/>
        </w:rPr>
        <w:t>[applies to Monitoring Levels 2 &amp; 3, Active, only]</w:t>
      </w:r>
    </w:p>
    <w:p w14:paraId="1D0CEE6B" w14:textId="77777777" w:rsidR="00985431" w:rsidRPr="00457557" w:rsidRDefault="00985431" w:rsidP="00985431">
      <w:pPr>
        <w:pStyle w:val="ListParagraph"/>
        <w:numPr>
          <w:ilvl w:val="0"/>
          <w:numId w:val="47"/>
        </w:numPr>
        <w:tabs>
          <w:tab w:val="left" w:pos="720"/>
        </w:tabs>
        <w:spacing w:after="80" w:line="240" w:lineRule="auto"/>
        <w:ind w:left="900"/>
        <w:contextualSpacing w:val="0"/>
        <w:rPr>
          <w:rFonts w:ascii="Cambria" w:hAnsi="Cambria" w:cstheme="minorHAnsi"/>
          <w:sz w:val="24"/>
          <w:szCs w:val="24"/>
        </w:rPr>
      </w:pPr>
      <w:r w:rsidRPr="00457557">
        <w:rPr>
          <w:rFonts w:ascii="Cambria" w:hAnsi="Cambria" w:cstheme="minorHAnsi"/>
          <w:sz w:val="24"/>
          <w:szCs w:val="24"/>
        </w:rPr>
        <w:t>Failure to comply with GPS</w:t>
      </w:r>
      <w:r>
        <w:rPr>
          <w:rFonts w:ascii="Cambria" w:hAnsi="Cambria" w:cstheme="minorHAnsi"/>
          <w:sz w:val="24"/>
          <w:szCs w:val="24"/>
        </w:rPr>
        <w:t xml:space="preserve"> or alcohol/drug</w:t>
      </w:r>
      <w:r w:rsidRPr="00457557">
        <w:rPr>
          <w:rFonts w:ascii="Cambria" w:hAnsi="Cambria" w:cstheme="minorHAnsi"/>
          <w:sz w:val="24"/>
          <w:szCs w:val="24"/>
        </w:rPr>
        <w:t xml:space="preserve"> monitoring</w:t>
      </w:r>
      <w:r>
        <w:rPr>
          <w:rFonts w:ascii="Cambria" w:hAnsi="Cambria" w:cstheme="minorHAnsi"/>
          <w:sz w:val="24"/>
          <w:szCs w:val="24"/>
        </w:rPr>
        <w:t xml:space="preserve"> </w:t>
      </w:r>
      <w:r>
        <w:rPr>
          <w:rFonts w:ascii="Cambria" w:hAnsi="Cambria" w:cstheme="minorHAnsi"/>
          <w:i/>
          <w:sz w:val="24"/>
          <w:szCs w:val="24"/>
        </w:rPr>
        <w:t xml:space="preserve">[applies to Monitoring </w:t>
      </w:r>
      <w:r>
        <w:rPr>
          <w:rFonts w:ascii="Cambria" w:hAnsi="Cambria" w:cstheme="minorHAnsi"/>
          <w:i/>
          <w:sz w:val="24"/>
          <w:szCs w:val="24"/>
        </w:rPr>
        <w:br/>
        <w:t>Levels 2 &amp; 3, Active, only]</w:t>
      </w:r>
    </w:p>
    <w:p w14:paraId="142347B4" w14:textId="77777777" w:rsidR="00985431" w:rsidRPr="00457557" w:rsidRDefault="00985431" w:rsidP="00985431">
      <w:pPr>
        <w:pStyle w:val="ListParagraph"/>
        <w:numPr>
          <w:ilvl w:val="0"/>
          <w:numId w:val="47"/>
        </w:numPr>
        <w:spacing w:after="80" w:line="240" w:lineRule="auto"/>
        <w:ind w:left="734" w:hanging="187"/>
        <w:contextualSpacing w:val="0"/>
        <w:rPr>
          <w:rFonts w:ascii="Cambria" w:hAnsi="Cambria" w:cstheme="minorHAnsi"/>
          <w:sz w:val="24"/>
          <w:szCs w:val="24"/>
        </w:rPr>
      </w:pPr>
      <w:r w:rsidRPr="00457557">
        <w:rPr>
          <w:rFonts w:ascii="Cambria" w:hAnsi="Cambria" w:cstheme="minorHAnsi"/>
          <w:sz w:val="24"/>
          <w:szCs w:val="24"/>
        </w:rPr>
        <w:t>Failure to report to Court as scheduled</w:t>
      </w:r>
    </w:p>
    <w:p w14:paraId="28828D26" w14:textId="77777777" w:rsidR="00985431" w:rsidRPr="00457557" w:rsidRDefault="00985431" w:rsidP="00985431">
      <w:pPr>
        <w:pStyle w:val="ListParagraph"/>
        <w:numPr>
          <w:ilvl w:val="0"/>
          <w:numId w:val="47"/>
        </w:numPr>
        <w:spacing w:after="240" w:line="240" w:lineRule="auto"/>
        <w:ind w:left="734" w:hanging="187"/>
        <w:contextualSpacing w:val="0"/>
        <w:rPr>
          <w:rFonts w:ascii="Cambria" w:hAnsi="Cambria" w:cstheme="minorHAnsi"/>
          <w:sz w:val="24"/>
          <w:szCs w:val="24"/>
        </w:rPr>
      </w:pPr>
      <w:r w:rsidRPr="00457557">
        <w:rPr>
          <w:rFonts w:ascii="Cambria" w:hAnsi="Cambria" w:cstheme="minorHAnsi"/>
          <w:sz w:val="24"/>
          <w:szCs w:val="24"/>
        </w:rPr>
        <w:t>Use of alcohol or drugs</w:t>
      </w:r>
      <w:r>
        <w:rPr>
          <w:rFonts w:ascii="Cambria" w:hAnsi="Cambria" w:cstheme="minorHAnsi"/>
          <w:sz w:val="24"/>
          <w:szCs w:val="24"/>
        </w:rPr>
        <w:t>, first-time</w:t>
      </w:r>
    </w:p>
    <w:p w14:paraId="336DAC98" w14:textId="77777777" w:rsidR="00985431" w:rsidRPr="00457557" w:rsidRDefault="00985431" w:rsidP="00985431">
      <w:pPr>
        <w:ind w:left="360"/>
        <w:rPr>
          <w:rFonts w:ascii="Cambria" w:hAnsi="Cambria" w:cstheme="minorHAnsi"/>
          <w:sz w:val="24"/>
          <w:szCs w:val="24"/>
          <w:u w:val="single"/>
        </w:rPr>
      </w:pPr>
      <w:r w:rsidRPr="00457557">
        <w:rPr>
          <w:rFonts w:ascii="Cambria" w:hAnsi="Cambria" w:cstheme="minorHAnsi"/>
          <w:sz w:val="24"/>
          <w:szCs w:val="24"/>
          <w:u w:val="single"/>
        </w:rPr>
        <w:t>Serious Violation: Reported to Judicial Officer, County Attorney</w:t>
      </w:r>
      <w:r>
        <w:rPr>
          <w:rFonts w:ascii="Cambria" w:hAnsi="Cambria" w:cstheme="minorHAnsi"/>
          <w:sz w:val="24"/>
          <w:szCs w:val="24"/>
          <w:u w:val="single"/>
        </w:rPr>
        <w:t>,</w:t>
      </w:r>
      <w:r w:rsidRPr="00457557">
        <w:rPr>
          <w:rFonts w:ascii="Cambria" w:hAnsi="Cambria" w:cstheme="minorHAnsi"/>
          <w:sz w:val="24"/>
          <w:szCs w:val="24"/>
          <w:u w:val="single"/>
        </w:rPr>
        <w:t xml:space="preserve"> &amp; Defense Attorney</w:t>
      </w:r>
    </w:p>
    <w:p w14:paraId="11830921" w14:textId="77777777" w:rsidR="00985431" w:rsidRPr="00457557" w:rsidRDefault="00985431" w:rsidP="00985431">
      <w:pPr>
        <w:pStyle w:val="ListParagraph"/>
        <w:numPr>
          <w:ilvl w:val="0"/>
          <w:numId w:val="47"/>
        </w:numPr>
        <w:spacing w:after="80" w:line="240" w:lineRule="auto"/>
        <w:ind w:left="734" w:hanging="187"/>
        <w:contextualSpacing w:val="0"/>
        <w:rPr>
          <w:rFonts w:ascii="Cambria" w:hAnsi="Cambria" w:cstheme="minorHAnsi"/>
          <w:sz w:val="24"/>
          <w:szCs w:val="24"/>
        </w:rPr>
      </w:pPr>
      <w:r w:rsidRPr="00457557">
        <w:rPr>
          <w:rFonts w:ascii="Cambria" w:hAnsi="Cambria" w:cstheme="minorHAnsi"/>
          <w:sz w:val="24"/>
          <w:szCs w:val="24"/>
        </w:rPr>
        <w:t xml:space="preserve">Use of alcohol or drugs </w:t>
      </w:r>
      <w:r>
        <w:rPr>
          <w:rFonts w:ascii="Cambria" w:hAnsi="Cambria" w:cstheme="minorHAnsi"/>
          <w:sz w:val="24"/>
          <w:szCs w:val="24"/>
        </w:rPr>
        <w:t>2+ times</w:t>
      </w:r>
    </w:p>
    <w:p w14:paraId="6B01FC85" w14:textId="77777777" w:rsidR="00985431" w:rsidRPr="00457557" w:rsidRDefault="00985431" w:rsidP="00985431">
      <w:pPr>
        <w:pStyle w:val="ListParagraph"/>
        <w:numPr>
          <w:ilvl w:val="0"/>
          <w:numId w:val="47"/>
        </w:numPr>
        <w:spacing w:after="80" w:line="240" w:lineRule="auto"/>
        <w:ind w:left="734" w:hanging="187"/>
        <w:contextualSpacing w:val="0"/>
        <w:rPr>
          <w:rFonts w:ascii="Cambria" w:hAnsi="Cambria" w:cstheme="minorHAnsi"/>
          <w:sz w:val="24"/>
          <w:szCs w:val="24"/>
        </w:rPr>
      </w:pPr>
      <w:r w:rsidRPr="00457557">
        <w:rPr>
          <w:rFonts w:ascii="Cambria" w:hAnsi="Cambria" w:cstheme="minorHAnsi"/>
          <w:sz w:val="24"/>
          <w:szCs w:val="24"/>
        </w:rPr>
        <w:t>Arrest for new crime</w:t>
      </w:r>
    </w:p>
    <w:p w14:paraId="464169BC" w14:textId="77777777" w:rsidR="00985431" w:rsidRPr="00457557" w:rsidRDefault="00985431" w:rsidP="00985431">
      <w:pPr>
        <w:pStyle w:val="ListParagraph"/>
        <w:numPr>
          <w:ilvl w:val="0"/>
          <w:numId w:val="47"/>
        </w:numPr>
        <w:ind w:hanging="180"/>
        <w:rPr>
          <w:rFonts w:ascii="Cambria" w:hAnsi="Cambria" w:cstheme="minorHAnsi"/>
          <w:sz w:val="24"/>
          <w:szCs w:val="24"/>
        </w:rPr>
      </w:pPr>
      <w:r w:rsidRPr="00457557">
        <w:rPr>
          <w:rFonts w:ascii="Cambria" w:hAnsi="Cambria" w:cstheme="minorHAnsi"/>
          <w:sz w:val="24"/>
          <w:szCs w:val="24"/>
        </w:rPr>
        <w:t>Absconds</w:t>
      </w:r>
    </w:p>
    <w:p w14:paraId="56822F08" w14:textId="77777777" w:rsidR="00985431" w:rsidRPr="00CA7CF0" w:rsidRDefault="00985431" w:rsidP="00985431">
      <w:pPr>
        <w:rPr>
          <w:b/>
          <w:sz w:val="24"/>
          <w:szCs w:val="24"/>
        </w:rPr>
      </w:pPr>
      <w:r>
        <w:br w:type="page"/>
      </w:r>
    </w:p>
    <w:p w14:paraId="2A505625" w14:textId="3D8CB9D4" w:rsidR="00235D37" w:rsidRDefault="00B60561" w:rsidP="00954B59">
      <w:pPr>
        <w:pStyle w:val="ChapterSubtitle"/>
      </w:pPr>
      <w:r>
        <w:rPr>
          <w:noProof/>
        </w:rPr>
        <w:lastRenderedPageBreak/>
        <w:drawing>
          <wp:inline distT="0" distB="0" distL="0" distR="0" wp14:anchorId="10DD71F5" wp14:editId="11A3FB3C">
            <wp:extent cx="4883150" cy="592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83150" cy="5924550"/>
                    </a:xfrm>
                    <a:prstGeom prst="rect">
                      <a:avLst/>
                    </a:prstGeom>
                  </pic:spPr>
                </pic:pic>
              </a:graphicData>
            </a:graphic>
          </wp:inline>
        </w:drawing>
      </w:r>
    </w:p>
    <w:p w14:paraId="670580F6" w14:textId="77777777" w:rsidR="00235D37" w:rsidRPr="00235D37" w:rsidRDefault="00235D37" w:rsidP="00235D37">
      <w:pPr>
        <w:pStyle w:val="BodyText"/>
      </w:pPr>
    </w:p>
    <w:p w14:paraId="4CF9E844" w14:textId="77777777" w:rsidR="00235D37" w:rsidRPr="00235D37" w:rsidRDefault="00235D37" w:rsidP="00235D37">
      <w:pPr>
        <w:pStyle w:val="BodyText"/>
      </w:pPr>
    </w:p>
    <w:p w14:paraId="304384D6" w14:textId="451C7B60" w:rsidR="005F5B90" w:rsidRPr="005F5B90" w:rsidRDefault="00235D37" w:rsidP="00B2655A">
      <w:pPr>
        <w:pStyle w:val="BodyText"/>
      </w:pPr>
      <w:r>
        <w:t xml:space="preserve"> </w:t>
      </w:r>
    </w:p>
    <w:p w14:paraId="3E9CBD9B" w14:textId="77777777" w:rsidR="00BA7EBB" w:rsidRDefault="00BA7EBB" w:rsidP="00B2655A">
      <w:pPr>
        <w:pStyle w:val="BodyText"/>
      </w:pPr>
    </w:p>
    <w:p w14:paraId="0ECE523F" w14:textId="77777777" w:rsidR="00BA7EBB" w:rsidRDefault="00BA7EBB" w:rsidP="00B2655A">
      <w:pPr>
        <w:pStyle w:val="BodyText"/>
      </w:pPr>
    </w:p>
    <w:p w14:paraId="2D352644" w14:textId="77777777" w:rsidR="00BA7EBB" w:rsidRDefault="00BA7EBB" w:rsidP="00B2655A">
      <w:pPr>
        <w:pStyle w:val="BodyText"/>
        <w:sectPr w:rsidR="00BA7EBB" w:rsidSect="00BA7EBB">
          <w:headerReference w:type="first" r:id="rId22"/>
          <w:pgSz w:w="12240" w:h="15840" w:code="1"/>
          <w:pgMar w:top="1800" w:right="1195" w:bottom="1440" w:left="3355" w:header="720" w:footer="720" w:gutter="0"/>
          <w:cols w:space="720"/>
          <w:titlePg/>
          <w:docGrid w:linePitch="218"/>
        </w:sectPr>
      </w:pPr>
    </w:p>
    <w:p w14:paraId="6EEE9192" w14:textId="45199582" w:rsidR="007B54A9" w:rsidRDefault="007B54A9" w:rsidP="007B54A9">
      <w:pPr>
        <w:pStyle w:val="ChapterTitle"/>
      </w:pPr>
      <w:r>
        <w:lastRenderedPageBreak/>
        <w:t>Reporting</w:t>
      </w:r>
      <w:r w:rsidR="00235D37">
        <w:t xml:space="preserve"> Outcomes of </w:t>
      </w:r>
      <w:r w:rsidR="000A4CF3">
        <w:t>Pretrial Defendants</w:t>
      </w:r>
    </w:p>
    <w:p w14:paraId="1087B4BB" w14:textId="7C15C812" w:rsidR="002A1995" w:rsidRDefault="002A1995" w:rsidP="002A1995">
      <w:pPr>
        <w:pStyle w:val="ChapterSubtitle"/>
        <w:rPr>
          <w:i w:val="0"/>
          <w:sz w:val="24"/>
          <w:szCs w:val="24"/>
        </w:rPr>
      </w:pPr>
      <w:r>
        <w:rPr>
          <w:i w:val="0"/>
          <w:sz w:val="24"/>
          <w:szCs w:val="24"/>
        </w:rPr>
        <w:t xml:space="preserve">Measurement of Success </w:t>
      </w:r>
    </w:p>
    <w:p w14:paraId="412D25F4" w14:textId="421303F9" w:rsidR="002A1995" w:rsidRPr="009C0D62" w:rsidRDefault="002A1995" w:rsidP="002A1995">
      <w:pPr>
        <w:pStyle w:val="BodyText"/>
        <w:rPr>
          <w:b/>
          <w:bCs/>
        </w:rPr>
      </w:pPr>
      <w:r>
        <w:t>It</w:t>
      </w:r>
      <w:r w:rsidR="00B60561">
        <w:t xml:space="preserve"> is</w:t>
      </w:r>
      <w:r>
        <w:t xml:space="preserve"> </w:t>
      </w:r>
      <w:r w:rsidR="00B05090">
        <w:t>invaluable</w:t>
      </w:r>
      <w:r>
        <w:t xml:space="preserve"> to measure outcomes of the project as the success of the project must be reported to the Montana Legislature</w:t>
      </w:r>
      <w:r w:rsidR="00B05090">
        <w:t xml:space="preserve">, the appointed Advisory </w:t>
      </w:r>
      <w:r w:rsidR="003A4F8C">
        <w:t>Council</w:t>
      </w:r>
      <w:r w:rsidR="00B60561">
        <w:t>,</w:t>
      </w:r>
      <w:r w:rsidR="003A4F8C">
        <w:t xml:space="preserve"> along</w:t>
      </w:r>
      <w:r w:rsidR="00B05090">
        <w:t xml:space="preserve"> with key stakeholders</w:t>
      </w:r>
      <w:r w:rsidR="00204732">
        <w:t xml:space="preserve"> and </w:t>
      </w:r>
      <w:r w:rsidR="003A4F8C">
        <w:t>citizens across</w:t>
      </w:r>
      <w:r w:rsidR="00B05090">
        <w:t xml:space="preserve"> the state</w:t>
      </w:r>
      <w:r w:rsidR="00204732">
        <w:t xml:space="preserve">. </w:t>
      </w:r>
      <w:r>
        <w:t xml:space="preserve"> The measurement </w:t>
      </w:r>
      <w:r w:rsidR="00204732">
        <w:t>has</w:t>
      </w:r>
      <w:r>
        <w:t xml:space="preserve"> impact on the future of the </w:t>
      </w:r>
      <w:r w:rsidR="00B05090">
        <w:t>pretrial project.</w:t>
      </w:r>
      <w:r w:rsidR="009C0D62">
        <w:t xml:space="preserve"> After a great deal of effort </w:t>
      </w:r>
      <w:r w:rsidR="00B05090">
        <w:t xml:space="preserve">by the Arnold Foundation consultants, the appointed working and advisory board members, representatives from the </w:t>
      </w:r>
      <w:r w:rsidR="009C0D62">
        <w:t>participating/pilot counties and the OCA</w:t>
      </w:r>
      <w:r w:rsidR="00B60561">
        <w:t>,</w:t>
      </w:r>
      <w:r w:rsidR="009C0D62">
        <w:t xml:space="preserve"> an agreed upon set of project outcome measures were adopted. The outcomes are compiled in a report called the </w:t>
      </w:r>
      <w:r w:rsidR="009C0D62" w:rsidRPr="009C0D62">
        <w:rPr>
          <w:b/>
          <w:bCs/>
        </w:rPr>
        <w:t>Performance Management Report (PMR).</w:t>
      </w:r>
    </w:p>
    <w:p w14:paraId="5ABE2E56" w14:textId="03C90A39" w:rsidR="00E35659" w:rsidRDefault="009C0D62" w:rsidP="00E35659">
      <w:pPr>
        <w:pStyle w:val="BodyText"/>
      </w:pPr>
      <w:r>
        <w:t xml:space="preserve">As </w:t>
      </w:r>
      <w:r w:rsidR="00B60561">
        <w:t xml:space="preserve">agreed, </w:t>
      </w:r>
      <w:r>
        <w:t>by the appointed advisory council, t</w:t>
      </w:r>
      <w:r w:rsidR="00E35659">
        <w:t xml:space="preserve">here are two primary pretrial outcome measures for defendants released pending case disposition </w:t>
      </w:r>
      <w:r>
        <w:t xml:space="preserve">to </w:t>
      </w:r>
      <w:r w:rsidR="003A4F8C">
        <w:t>determine success</w:t>
      </w:r>
      <w:r w:rsidR="00E35659">
        <w:t xml:space="preserve"> and failure. The two primary types of pretrial failure include failure to appear an</w:t>
      </w:r>
      <w:r w:rsidR="00114336">
        <w:t>d</w:t>
      </w:r>
      <w:r w:rsidR="00E35659">
        <w:t xml:space="preserve"> new criminal activity. In addition, wh</w:t>
      </w:r>
      <w:r w:rsidR="00114336">
        <w:t>e</w:t>
      </w:r>
      <w:r w:rsidR="00E35659">
        <w:t xml:space="preserve">ther the new criminal activity is violent is also measured. Generally, defendants who do not experience either type of pretrial failure are considered </w:t>
      </w:r>
      <w:r w:rsidR="00114336">
        <w:t>successful. Descriptions of the primary types of pretrial failure are provided below.</w:t>
      </w:r>
    </w:p>
    <w:p w14:paraId="7D197675" w14:textId="3D474E1A" w:rsidR="00961DEE" w:rsidRDefault="00961DEE" w:rsidP="00E35659">
      <w:pPr>
        <w:pStyle w:val="BodyText"/>
      </w:pPr>
      <w:r>
        <w:t>1. FAILURE TO APPEAR (FTA)</w:t>
      </w:r>
    </w:p>
    <w:p w14:paraId="28B184FB" w14:textId="19C5D667" w:rsidR="00961DEE" w:rsidRDefault="00961DEE" w:rsidP="00E35659">
      <w:pPr>
        <w:pStyle w:val="BodyText"/>
      </w:pPr>
      <w:r>
        <w:t xml:space="preserve">Failure to appear </w:t>
      </w:r>
      <w:r w:rsidR="009533D3">
        <w:t>is defined</w:t>
      </w:r>
      <w:r>
        <w:t xml:space="preserve"> as any missed court appearance while on release pending case disposition for the current case and a bench warrant or capias </w:t>
      </w:r>
      <w:r w:rsidR="009533D3">
        <w:t>for</w:t>
      </w:r>
      <w:r>
        <w:t xml:space="preserve"> arrest was issued. A failure to appear is not counted if there is confirmation that the defendant was in custody (jail or prison) when the failure to appear occurred. </w:t>
      </w:r>
    </w:p>
    <w:p w14:paraId="7EE1F069" w14:textId="1EF87720" w:rsidR="00961DEE" w:rsidRDefault="00961DEE" w:rsidP="00E35659">
      <w:pPr>
        <w:pStyle w:val="BodyText"/>
      </w:pPr>
      <w:r>
        <w:t>2. NEW CRIMINAL ACTIVITY (NCA)</w:t>
      </w:r>
    </w:p>
    <w:p w14:paraId="35ABE838" w14:textId="1A46C5D5" w:rsidR="00961DEE" w:rsidRDefault="00961DEE" w:rsidP="00E35659">
      <w:pPr>
        <w:pStyle w:val="BodyText"/>
      </w:pPr>
      <w:r>
        <w:t xml:space="preserve">New criminal activity is defined as an arrest for a criminal or traffic offense that carries a potential penalty of incarceration (jail or prison) that allegedly occurred while on release pending disposition for the current case. </w:t>
      </w:r>
    </w:p>
    <w:p w14:paraId="7714E800" w14:textId="77777777" w:rsidR="009C0D62" w:rsidRDefault="00961DEE" w:rsidP="00E35659">
      <w:pPr>
        <w:pStyle w:val="BodyText"/>
      </w:pPr>
      <w:r>
        <w:tab/>
      </w:r>
    </w:p>
    <w:p w14:paraId="3CFEC4BE" w14:textId="28203819" w:rsidR="00961DEE" w:rsidRDefault="00961DEE" w:rsidP="00E35659">
      <w:pPr>
        <w:pStyle w:val="BodyText"/>
      </w:pPr>
      <w:r>
        <w:t>2a. NEW VIOLENT CRIMINAL ACTIVITY (NVCA)</w:t>
      </w:r>
    </w:p>
    <w:p w14:paraId="4FAE99C3" w14:textId="3FC6194A" w:rsidR="00961DEE" w:rsidRDefault="00961DEE" w:rsidP="00AF1CC3">
      <w:pPr>
        <w:pStyle w:val="BodyText"/>
        <w:ind w:left="720"/>
      </w:pPr>
      <w:r>
        <w:t xml:space="preserve">New violent criminal activity is defined as an arrest for a violent offense that allegedly occurred while on release pending case disposition for the current case. Generally, offenses are considered violent when a person causes or attempts to cause physical injury to another person. The most common violent offenses include: Murder, Homicide, Manslaughter, Kidnapping, Abduction, Robbery, </w:t>
      </w:r>
      <w:r>
        <w:lastRenderedPageBreak/>
        <w:t>Carjacking, Assault involving physical injury including Domestic Assault (misdemeanor or felony), and person to person related Sex Offenses (.g., Rape, Sexual Assault/Battery, Indecent Lib</w:t>
      </w:r>
      <w:r w:rsidR="00AF1CC3">
        <w:t>e</w:t>
      </w:r>
      <w:r>
        <w:t>rt</w:t>
      </w:r>
      <w:r w:rsidR="00AF1CC3">
        <w:t>i</w:t>
      </w:r>
      <w:r>
        <w:t>es with Child, Forcible Sodomy). A charge of attempt (e.g. attempted murder, attempted rape), being an accessory before the fact, solicitation, and conspiracy to commit</w:t>
      </w:r>
      <w:r w:rsidR="00AF1CC3">
        <w:t xml:space="preserve"> </w:t>
      </w:r>
      <w:r>
        <w:t xml:space="preserve">any of these offenses is considered a violent offense. </w:t>
      </w:r>
    </w:p>
    <w:p w14:paraId="113E2AA4" w14:textId="72643E64" w:rsidR="009C0D62" w:rsidRDefault="009C0D62" w:rsidP="00AF1CC3">
      <w:pPr>
        <w:pStyle w:val="BodyText"/>
        <w:ind w:left="720"/>
      </w:pPr>
      <w:r>
        <w:t xml:space="preserve">Success of the overall project is </w:t>
      </w:r>
      <w:r w:rsidR="00057313">
        <w:t>calculated after reviewing and compiling data entered into the AutoMon system by each pilot/participating county.  The data entered into AutoMon focuses on twenty-two data points entered on every defendant subjected to a PSA. The data reflects the outcome of defendant</w:t>
      </w:r>
      <w:r w:rsidR="00204732">
        <w:t xml:space="preserve">s </w:t>
      </w:r>
      <w:r w:rsidR="003A4F8C">
        <w:t>whose</w:t>
      </w:r>
      <w:r w:rsidR="00057313">
        <w:t xml:space="preserve"> case has been closed by the c</w:t>
      </w:r>
      <w:r w:rsidR="00204732">
        <w:t xml:space="preserve">ase </w:t>
      </w:r>
      <w:r w:rsidR="00057313">
        <w:t>man</w:t>
      </w:r>
      <w:r w:rsidR="00204732">
        <w:t>a</w:t>
      </w:r>
      <w:r w:rsidR="00057313">
        <w:t>ger of the pilo</w:t>
      </w:r>
      <w:r w:rsidR="00204732">
        <w:t>t</w:t>
      </w:r>
      <w:r w:rsidR="00057313">
        <w:t>/participating county</w:t>
      </w:r>
      <w:r w:rsidR="00204732">
        <w:t>.  The PMR is designed to provide data regarding:</w:t>
      </w:r>
    </w:p>
    <w:p w14:paraId="13DDC328" w14:textId="23120673" w:rsidR="00204732" w:rsidRDefault="00204732" w:rsidP="00204732">
      <w:pPr>
        <w:pStyle w:val="BodyText"/>
        <w:numPr>
          <w:ilvl w:val="0"/>
          <w:numId w:val="45"/>
        </w:numPr>
      </w:pPr>
      <w:r>
        <w:t>Jail Release Measurements</w:t>
      </w:r>
    </w:p>
    <w:p w14:paraId="058E2B91" w14:textId="1C3ED159" w:rsidR="00204732" w:rsidRDefault="00204732" w:rsidP="00204732">
      <w:pPr>
        <w:pStyle w:val="BodyText"/>
        <w:numPr>
          <w:ilvl w:val="0"/>
          <w:numId w:val="45"/>
        </w:numPr>
      </w:pPr>
      <w:r>
        <w:t>Jail Detention Measurements</w:t>
      </w:r>
    </w:p>
    <w:p w14:paraId="30F2092B" w14:textId="4E542463" w:rsidR="00204732" w:rsidRDefault="00204732" w:rsidP="00204732">
      <w:pPr>
        <w:pStyle w:val="BodyText"/>
        <w:numPr>
          <w:ilvl w:val="0"/>
          <w:numId w:val="45"/>
        </w:numPr>
      </w:pPr>
      <w:r>
        <w:t>Pretrial Release Outcome Measures</w:t>
      </w:r>
    </w:p>
    <w:p w14:paraId="3E113D43" w14:textId="51DDBF9F" w:rsidR="00954B59" w:rsidRDefault="00204732" w:rsidP="00954B59">
      <w:pPr>
        <w:pStyle w:val="BodyText"/>
      </w:pPr>
      <w:r>
        <w:t xml:space="preserve">The attached outline of the Performance Measurement Report (PMR) </w:t>
      </w:r>
      <w:r w:rsidR="00963DC4">
        <w:t>illustrates</w:t>
      </w:r>
      <w:r>
        <w:t xml:space="preserve"> the three measurement categories.</w:t>
      </w:r>
    </w:p>
    <w:p w14:paraId="430D19E4" w14:textId="68A72594" w:rsidR="0025062D" w:rsidRDefault="0025062D" w:rsidP="00954B59">
      <w:pPr>
        <w:pStyle w:val="BodyText"/>
      </w:pPr>
    </w:p>
    <w:p w14:paraId="4E11B928" w14:textId="0511D983" w:rsidR="0025062D" w:rsidRDefault="0025062D">
      <w:pPr>
        <w:rPr>
          <w:rFonts w:ascii="Calibri,Bold" w:hAnsi="Calibri,Bold" w:cs="Calibri,Bold"/>
          <w:b/>
          <w:bCs/>
          <w:sz w:val="28"/>
          <w:szCs w:val="28"/>
        </w:rPr>
      </w:pPr>
      <w:r>
        <w:rPr>
          <w:rFonts w:ascii="Calibri,Bold" w:hAnsi="Calibri,Bold" w:cs="Calibri,Bold"/>
          <w:b/>
          <w:bCs/>
          <w:sz w:val="28"/>
          <w:szCs w:val="28"/>
        </w:rPr>
        <w:br w:type="page"/>
      </w:r>
      <w:r w:rsidR="00985431" w:rsidRPr="00B811A7">
        <w:lastRenderedPageBreak/>
        <w:t xml:space="preserve"> </w:t>
      </w:r>
      <w:r w:rsidR="00B811A7" w:rsidRPr="00B811A7">
        <w:rPr>
          <w:noProof/>
        </w:rPr>
        <w:drawing>
          <wp:inline distT="0" distB="0" distL="0" distR="0" wp14:anchorId="60786993" wp14:editId="64734ABE">
            <wp:extent cx="4883150" cy="6739890"/>
            <wp:effectExtent l="0" t="0" r="0" b="3810"/>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83150" cy="6739890"/>
                    </a:xfrm>
                    <a:prstGeom prst="rect">
                      <a:avLst/>
                    </a:prstGeom>
                    <a:noFill/>
                    <a:ln>
                      <a:noFill/>
                    </a:ln>
                  </pic:spPr>
                </pic:pic>
              </a:graphicData>
            </a:graphic>
          </wp:inline>
        </w:drawing>
      </w:r>
    </w:p>
    <w:p w14:paraId="2486F172" w14:textId="346B6905" w:rsidR="00B811A7" w:rsidRDefault="00B811A7">
      <w:pPr>
        <w:rPr>
          <w:rFonts w:ascii="Calibri,Bold" w:hAnsi="Calibri,Bold" w:cs="Calibri,Bold"/>
          <w:b/>
          <w:bCs/>
          <w:sz w:val="28"/>
          <w:szCs w:val="28"/>
        </w:rPr>
      </w:pPr>
    </w:p>
    <w:p w14:paraId="17A8AE8C" w14:textId="20E5A5A7" w:rsidR="00B811A7" w:rsidRDefault="00B811A7">
      <w:pPr>
        <w:rPr>
          <w:rFonts w:ascii="Calibri,Bold" w:hAnsi="Calibri,Bold" w:cs="Calibri,Bold"/>
          <w:b/>
          <w:bCs/>
          <w:sz w:val="28"/>
          <w:szCs w:val="28"/>
        </w:rPr>
      </w:pPr>
    </w:p>
    <w:p w14:paraId="2510C572" w14:textId="67D54E6B" w:rsidR="00B811A7" w:rsidRDefault="00B811A7">
      <w:pPr>
        <w:rPr>
          <w:rFonts w:ascii="Calibri,Bold" w:hAnsi="Calibri,Bold" w:cs="Calibri,Bold"/>
          <w:b/>
          <w:bCs/>
          <w:sz w:val="28"/>
          <w:szCs w:val="28"/>
        </w:rPr>
      </w:pPr>
    </w:p>
    <w:p w14:paraId="7D2E4512" w14:textId="0FFBF728" w:rsidR="00B811A7" w:rsidRDefault="00B811A7">
      <w:pPr>
        <w:rPr>
          <w:rFonts w:ascii="Calibri,Bold" w:hAnsi="Calibri,Bold" w:cs="Calibri,Bold"/>
          <w:b/>
          <w:bCs/>
          <w:sz w:val="28"/>
          <w:szCs w:val="28"/>
        </w:rPr>
      </w:pPr>
    </w:p>
    <w:p w14:paraId="50457313" w14:textId="2B668348" w:rsidR="00B811A7" w:rsidRDefault="00B811A7">
      <w:pPr>
        <w:rPr>
          <w:rFonts w:ascii="Calibri,Bold" w:hAnsi="Calibri,Bold" w:cs="Calibri,Bold"/>
          <w:b/>
          <w:bCs/>
          <w:sz w:val="28"/>
          <w:szCs w:val="28"/>
        </w:rPr>
      </w:pPr>
    </w:p>
    <w:p w14:paraId="16C719F5" w14:textId="44724583" w:rsidR="00B811A7" w:rsidRDefault="00B811A7">
      <w:pPr>
        <w:rPr>
          <w:rFonts w:ascii="Calibri,Bold" w:hAnsi="Calibri,Bold" w:cs="Calibri,Bold"/>
          <w:b/>
          <w:bCs/>
          <w:sz w:val="28"/>
          <w:szCs w:val="28"/>
        </w:rPr>
      </w:pPr>
    </w:p>
    <w:p w14:paraId="6EE18383" w14:textId="0D1716FC" w:rsidR="00B811A7" w:rsidRDefault="00B811A7">
      <w:pPr>
        <w:rPr>
          <w:rFonts w:ascii="Calibri,Bold" w:hAnsi="Calibri,Bold" w:cs="Calibri,Bold"/>
          <w:b/>
          <w:bCs/>
          <w:sz w:val="28"/>
          <w:szCs w:val="28"/>
        </w:rPr>
      </w:pPr>
      <w:r w:rsidRPr="00B811A7">
        <w:rPr>
          <w:noProof/>
        </w:rPr>
        <w:drawing>
          <wp:inline distT="0" distB="0" distL="0" distR="0" wp14:anchorId="632ECF2D" wp14:editId="774E5CDD">
            <wp:extent cx="4883150" cy="6797675"/>
            <wp:effectExtent l="0" t="0" r="0" b="3175"/>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83150" cy="6797675"/>
                    </a:xfrm>
                    <a:prstGeom prst="rect">
                      <a:avLst/>
                    </a:prstGeom>
                    <a:noFill/>
                    <a:ln>
                      <a:noFill/>
                    </a:ln>
                  </pic:spPr>
                </pic:pic>
              </a:graphicData>
            </a:graphic>
          </wp:inline>
        </w:drawing>
      </w:r>
    </w:p>
    <w:p w14:paraId="49D98C06" w14:textId="7B080121" w:rsidR="00B811A7" w:rsidRDefault="00B811A7">
      <w:pPr>
        <w:rPr>
          <w:rFonts w:ascii="Calibri,Bold" w:hAnsi="Calibri,Bold" w:cs="Calibri,Bold"/>
          <w:b/>
          <w:bCs/>
          <w:sz w:val="28"/>
          <w:szCs w:val="28"/>
        </w:rPr>
      </w:pPr>
    </w:p>
    <w:p w14:paraId="7D203E8E" w14:textId="70BBF29C" w:rsidR="00B811A7" w:rsidRDefault="00B811A7">
      <w:pPr>
        <w:rPr>
          <w:rFonts w:ascii="Calibri,Bold" w:hAnsi="Calibri,Bold" w:cs="Calibri,Bold"/>
          <w:b/>
          <w:bCs/>
          <w:sz w:val="28"/>
          <w:szCs w:val="28"/>
        </w:rPr>
      </w:pPr>
    </w:p>
    <w:p w14:paraId="75572B7A" w14:textId="625594C8" w:rsidR="00B811A7" w:rsidRDefault="00B811A7">
      <w:pPr>
        <w:rPr>
          <w:rFonts w:ascii="Calibri,Bold" w:hAnsi="Calibri,Bold" w:cs="Calibri,Bold"/>
          <w:b/>
          <w:bCs/>
          <w:sz w:val="28"/>
          <w:szCs w:val="28"/>
        </w:rPr>
      </w:pPr>
    </w:p>
    <w:p w14:paraId="0839AEC7" w14:textId="6FF03A43" w:rsidR="00B811A7" w:rsidRDefault="00B811A7">
      <w:pPr>
        <w:rPr>
          <w:rFonts w:ascii="Calibri,Bold" w:hAnsi="Calibri,Bold" w:cs="Calibri,Bold"/>
          <w:b/>
          <w:bCs/>
          <w:sz w:val="28"/>
          <w:szCs w:val="28"/>
        </w:rPr>
      </w:pPr>
    </w:p>
    <w:p w14:paraId="6DF81CB1" w14:textId="0694E05F" w:rsidR="00B811A7" w:rsidRDefault="00B811A7">
      <w:pPr>
        <w:rPr>
          <w:rFonts w:ascii="Calibri,Bold" w:hAnsi="Calibri,Bold" w:cs="Calibri,Bold"/>
          <w:b/>
          <w:bCs/>
          <w:sz w:val="28"/>
          <w:szCs w:val="28"/>
        </w:rPr>
      </w:pPr>
      <w:r w:rsidRPr="00B811A7">
        <w:rPr>
          <w:noProof/>
        </w:rPr>
        <w:lastRenderedPageBreak/>
        <w:drawing>
          <wp:inline distT="0" distB="0" distL="0" distR="0" wp14:anchorId="46132559" wp14:editId="22B12924">
            <wp:extent cx="4883150" cy="6797675"/>
            <wp:effectExtent l="0" t="0" r="0" b="3175"/>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83150" cy="6797675"/>
                    </a:xfrm>
                    <a:prstGeom prst="rect">
                      <a:avLst/>
                    </a:prstGeom>
                    <a:noFill/>
                    <a:ln>
                      <a:noFill/>
                    </a:ln>
                  </pic:spPr>
                </pic:pic>
              </a:graphicData>
            </a:graphic>
          </wp:inline>
        </w:drawing>
      </w:r>
    </w:p>
    <w:p w14:paraId="18705742" w14:textId="2B991DD2" w:rsidR="00B811A7" w:rsidRDefault="00B811A7">
      <w:pPr>
        <w:rPr>
          <w:rFonts w:ascii="Calibri,Bold" w:hAnsi="Calibri,Bold" w:cs="Calibri,Bold"/>
          <w:b/>
          <w:bCs/>
          <w:sz w:val="28"/>
          <w:szCs w:val="28"/>
        </w:rPr>
      </w:pPr>
    </w:p>
    <w:p w14:paraId="2C19DDD4" w14:textId="1C4DE115" w:rsidR="00B811A7" w:rsidRDefault="00B811A7">
      <w:pPr>
        <w:rPr>
          <w:rFonts w:ascii="Calibri,Bold" w:hAnsi="Calibri,Bold" w:cs="Calibri,Bold"/>
          <w:b/>
          <w:bCs/>
          <w:sz w:val="28"/>
          <w:szCs w:val="28"/>
        </w:rPr>
      </w:pPr>
    </w:p>
    <w:p w14:paraId="72C0943B" w14:textId="5A8C878B" w:rsidR="00B811A7" w:rsidRDefault="00B811A7">
      <w:pPr>
        <w:rPr>
          <w:rFonts w:ascii="Calibri,Bold" w:hAnsi="Calibri,Bold" w:cs="Calibri,Bold"/>
          <w:b/>
          <w:bCs/>
          <w:sz w:val="28"/>
          <w:szCs w:val="28"/>
        </w:rPr>
      </w:pPr>
    </w:p>
    <w:p w14:paraId="5C38B48A" w14:textId="1ADE0E9D" w:rsidR="00B811A7" w:rsidRDefault="00B811A7">
      <w:pPr>
        <w:rPr>
          <w:rFonts w:ascii="Calibri,Bold" w:hAnsi="Calibri,Bold" w:cs="Calibri,Bold"/>
          <w:b/>
          <w:bCs/>
          <w:sz w:val="28"/>
          <w:szCs w:val="28"/>
        </w:rPr>
      </w:pPr>
    </w:p>
    <w:p w14:paraId="53E37021" w14:textId="4A8FBC8B" w:rsidR="00B811A7" w:rsidRDefault="00B811A7">
      <w:pPr>
        <w:rPr>
          <w:rFonts w:ascii="Calibri,Bold" w:hAnsi="Calibri,Bold" w:cs="Calibri,Bold"/>
          <w:b/>
          <w:bCs/>
          <w:sz w:val="28"/>
          <w:szCs w:val="28"/>
        </w:rPr>
      </w:pPr>
    </w:p>
    <w:p w14:paraId="0740F85F" w14:textId="353EA402" w:rsidR="00B811A7" w:rsidRDefault="00B811A7">
      <w:pPr>
        <w:rPr>
          <w:rFonts w:ascii="Calibri,Bold" w:hAnsi="Calibri,Bold" w:cs="Calibri,Bold"/>
          <w:b/>
          <w:bCs/>
          <w:sz w:val="28"/>
          <w:szCs w:val="28"/>
        </w:rPr>
      </w:pPr>
      <w:r w:rsidRPr="00B811A7">
        <w:rPr>
          <w:noProof/>
        </w:rPr>
        <w:lastRenderedPageBreak/>
        <w:drawing>
          <wp:inline distT="0" distB="0" distL="0" distR="0" wp14:anchorId="012A2412" wp14:editId="41D84DA6">
            <wp:extent cx="4883150" cy="6624320"/>
            <wp:effectExtent l="0" t="0" r="0" b="5080"/>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83150" cy="6624320"/>
                    </a:xfrm>
                    <a:prstGeom prst="rect">
                      <a:avLst/>
                    </a:prstGeom>
                    <a:noFill/>
                    <a:ln>
                      <a:noFill/>
                    </a:ln>
                  </pic:spPr>
                </pic:pic>
              </a:graphicData>
            </a:graphic>
          </wp:inline>
        </w:drawing>
      </w:r>
    </w:p>
    <w:sectPr w:rsidR="00B811A7" w:rsidSect="00073A95">
      <w:headerReference w:type="default" r:id="rId27"/>
      <w:headerReference w:type="first" r:id="rId28"/>
      <w:pgSz w:w="12240" w:h="15840" w:code="1"/>
      <w:pgMar w:top="1800" w:right="1195" w:bottom="1440" w:left="3355"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AC6AE" w14:textId="77777777" w:rsidR="00BB3879" w:rsidRDefault="00BB3879">
      <w:r>
        <w:separator/>
      </w:r>
    </w:p>
  </w:endnote>
  <w:endnote w:type="continuationSeparator" w:id="0">
    <w:p w14:paraId="7372E468" w14:textId="77777777" w:rsidR="00BB3879" w:rsidRDefault="00BB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eneva">
    <w:charset w:val="00"/>
    <w:family w:val="auto"/>
    <w:pitch w:val="variable"/>
    <w:sig w:usb0="E00002FF" w:usb1="5200205F" w:usb2="00A0C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3258" w14:textId="77777777" w:rsidR="00204732" w:rsidRDefault="00204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20929" w14:textId="77777777" w:rsidR="00204732" w:rsidRDefault="00204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BB584" w14:textId="77777777" w:rsidR="00204732" w:rsidRPr="00BA688A" w:rsidRDefault="00204732" w:rsidP="00BA6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22047" w14:textId="77777777" w:rsidR="00BB3879" w:rsidRDefault="00BB3879">
      <w:r>
        <w:separator/>
      </w:r>
    </w:p>
  </w:footnote>
  <w:footnote w:type="continuationSeparator" w:id="0">
    <w:p w14:paraId="1D6B72E9" w14:textId="77777777" w:rsidR="00BB3879" w:rsidRDefault="00BB3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89B37" w14:textId="77777777" w:rsidR="00204732" w:rsidRDefault="002047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9ED58" w14:textId="5CAD3175" w:rsidR="00204732" w:rsidRPr="00BA688A" w:rsidRDefault="00204732" w:rsidP="00BA688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37BC" w14:textId="77777777" w:rsidR="00204732" w:rsidRDefault="0020473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D8B2" w14:textId="7B4F3988" w:rsidR="00204732" w:rsidRPr="00BA688A" w:rsidRDefault="00204732" w:rsidP="00BA6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A6D2D" w14:textId="77777777" w:rsidR="00204732" w:rsidRDefault="00204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14EA0" w14:textId="21592D88" w:rsidR="00204732" w:rsidRPr="00BA688A" w:rsidRDefault="00204732" w:rsidP="00BA68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84655" w14:textId="77777777" w:rsidR="00204732" w:rsidRDefault="002047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AA39D" w14:textId="75348BA0" w:rsidR="00204732" w:rsidRPr="00BA688A" w:rsidRDefault="00204732" w:rsidP="00BA68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B7188" w14:textId="77777777" w:rsidR="00204732" w:rsidRDefault="002047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3F2B7" w14:textId="7BDD756D" w:rsidR="00204732" w:rsidRPr="00BA688A" w:rsidRDefault="00204732" w:rsidP="00BA688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1A7A9" w14:textId="77777777" w:rsidR="00204732" w:rsidRDefault="0020473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F4AE" w14:textId="79EEE3FC" w:rsidR="00204732" w:rsidRPr="00BA688A" w:rsidRDefault="00204732" w:rsidP="00BA6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015ED47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B3BEF5CC"/>
    <w:lvl w:ilvl="0">
      <w:start w:val="1"/>
      <w:numFmt w:val="decimal"/>
      <w:lvlText w:val="%1."/>
      <w:lvlJc w:val="left"/>
      <w:pPr>
        <w:tabs>
          <w:tab w:val="num" w:pos="720"/>
        </w:tabs>
        <w:ind w:left="720" w:hanging="360"/>
      </w:pPr>
    </w:lvl>
  </w:abstractNum>
  <w:abstractNum w:abstractNumId="2" w15:restartNumberingAfterBreak="0">
    <w:nsid w:val="FFFFFF81"/>
    <w:multiLevelType w:val="singleLevel"/>
    <w:tmpl w:val="BDAE33B0"/>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C1A6A5C4"/>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7115453"/>
    <w:multiLevelType w:val="hybridMultilevel"/>
    <w:tmpl w:val="BFA48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760E7"/>
    <w:multiLevelType w:val="singleLevel"/>
    <w:tmpl w:val="A19A21BE"/>
    <w:lvl w:ilvl="0">
      <w:start w:val="1"/>
      <w:numFmt w:val="none"/>
      <w:lvlText w:val=""/>
      <w:legacy w:legacy="1" w:legacySpace="0" w:legacyIndent="360"/>
      <w:lvlJc w:val="left"/>
    </w:lvl>
  </w:abstractNum>
  <w:abstractNum w:abstractNumId="7" w15:restartNumberingAfterBreak="0">
    <w:nsid w:val="19174C33"/>
    <w:multiLevelType w:val="hybridMultilevel"/>
    <w:tmpl w:val="F7623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9" w15:restartNumberingAfterBreak="0">
    <w:nsid w:val="1EB00F80"/>
    <w:multiLevelType w:val="hybridMultilevel"/>
    <w:tmpl w:val="E07C7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F2345"/>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1" w15:restartNumberingAfterBreak="0">
    <w:nsid w:val="3560722C"/>
    <w:multiLevelType w:val="hybridMultilevel"/>
    <w:tmpl w:val="BFA48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17CB"/>
    <w:multiLevelType w:val="hybridMultilevel"/>
    <w:tmpl w:val="DC44D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02913"/>
    <w:multiLevelType w:val="singleLevel"/>
    <w:tmpl w:val="F6305A7C"/>
    <w:lvl w:ilvl="0">
      <w:start w:val="1"/>
      <w:numFmt w:val="none"/>
      <w:lvlText w:val=""/>
      <w:legacy w:legacy="1" w:legacySpace="0" w:legacyIndent="360"/>
      <w:lvlJc w:val="left"/>
    </w:lvl>
  </w:abstractNum>
  <w:abstractNum w:abstractNumId="14" w15:restartNumberingAfterBreak="0">
    <w:nsid w:val="48E24167"/>
    <w:multiLevelType w:val="hybridMultilevel"/>
    <w:tmpl w:val="FF748E10"/>
    <w:lvl w:ilvl="0" w:tplc="B5588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6A0C16"/>
    <w:multiLevelType w:val="hybridMultilevel"/>
    <w:tmpl w:val="37460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10037"/>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7" w15:restartNumberingAfterBreak="0">
    <w:nsid w:val="4BD6162F"/>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8"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9" w15:restartNumberingAfterBreak="0">
    <w:nsid w:val="4F61077B"/>
    <w:multiLevelType w:val="singleLevel"/>
    <w:tmpl w:val="39CC91A4"/>
    <w:lvl w:ilvl="0">
      <w:start w:val="1"/>
      <w:numFmt w:val="decimal"/>
      <w:lvlText w:val="%1."/>
      <w:legacy w:legacy="1" w:legacySpace="0" w:legacyIndent="360"/>
      <w:lvlJc w:val="left"/>
      <w:pPr>
        <w:ind w:left="720" w:hanging="360"/>
      </w:pPr>
    </w:lvl>
  </w:abstractNum>
  <w:abstractNum w:abstractNumId="20" w15:restartNumberingAfterBreak="0">
    <w:nsid w:val="57407720"/>
    <w:multiLevelType w:val="hybridMultilevel"/>
    <w:tmpl w:val="A482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2"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3" w15:restartNumberingAfterBreak="0">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4" w15:restartNumberingAfterBreak="0">
    <w:nsid w:val="63882B2E"/>
    <w:multiLevelType w:val="singleLevel"/>
    <w:tmpl w:val="8D1E4DD4"/>
    <w:lvl w:ilvl="0">
      <w:start w:val="1"/>
      <w:numFmt w:val="none"/>
      <w:lvlText w:val=""/>
      <w:legacy w:legacy="1" w:legacySpace="0" w:legacyIndent="360"/>
      <w:lvlJc w:val="left"/>
    </w:lvl>
  </w:abstractNum>
  <w:abstractNum w:abstractNumId="25" w15:restartNumberingAfterBreak="0">
    <w:nsid w:val="6C084DC8"/>
    <w:multiLevelType w:val="hybridMultilevel"/>
    <w:tmpl w:val="E7A65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07BFC"/>
    <w:multiLevelType w:val="singleLevel"/>
    <w:tmpl w:val="80DE380C"/>
    <w:lvl w:ilvl="0">
      <w:start w:val="1"/>
      <w:numFmt w:val="none"/>
      <w:lvlText w:val=""/>
      <w:legacy w:legacy="1" w:legacySpace="0" w:legacyIndent="360"/>
      <w:lvlJc w:val="left"/>
    </w:lvl>
  </w:abstractNum>
  <w:abstractNum w:abstractNumId="27" w15:restartNumberingAfterBreak="0">
    <w:nsid w:val="72E80EB0"/>
    <w:multiLevelType w:val="hybridMultilevel"/>
    <w:tmpl w:val="3F040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9D7287"/>
    <w:multiLevelType w:val="singleLevel"/>
    <w:tmpl w:val="DE76053A"/>
    <w:lvl w:ilvl="0">
      <w:start w:val="1"/>
      <w:numFmt w:val="none"/>
      <w:lvlText w:val=""/>
      <w:legacy w:legacy="1" w:legacySpace="0" w:legacyIndent="360"/>
      <w:lvlJc w:val="left"/>
    </w:lvl>
  </w:abstractNum>
  <w:abstractNum w:abstractNumId="29" w15:restartNumberingAfterBreak="0">
    <w:nsid w:val="75D550E5"/>
    <w:multiLevelType w:val="hybridMultilevel"/>
    <w:tmpl w:val="57ACD53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0" w15:restartNumberingAfterBreak="0">
    <w:nsid w:val="7A986A56"/>
    <w:multiLevelType w:val="hybridMultilevel"/>
    <w:tmpl w:val="E32EDEC4"/>
    <w:lvl w:ilvl="0" w:tplc="820A56B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36BCE"/>
    <w:multiLevelType w:val="hybridMultilevel"/>
    <w:tmpl w:val="1F40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182F69"/>
    <w:multiLevelType w:val="hybridMultilevel"/>
    <w:tmpl w:val="EDAA3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2">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3">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4">
    <w:abstractNumId w:val="4"/>
    <w:lvlOverride w:ilvl="0">
      <w:lvl w:ilvl="0">
        <w:start w:val="1"/>
        <w:numFmt w:val="bullet"/>
        <w:lvlText w:val=""/>
        <w:legacy w:legacy="1" w:legacySpace="0" w:legacyIndent="360"/>
        <w:lvlJc w:val="left"/>
        <w:pPr>
          <w:ind w:left="360" w:hanging="360"/>
        </w:pPr>
        <w:rPr>
          <w:rFonts w:ascii="Wingdings" w:hAnsi="Wingdings"/>
          <w:sz w:val="20"/>
        </w:rPr>
      </w:lvl>
    </w:lvlOverride>
  </w:num>
  <w:num w:numId="5">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6">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7">
    <w:abstractNumId w:val="8"/>
  </w:num>
  <w:num w:numId="8">
    <w:abstractNumId w:val="21"/>
  </w:num>
  <w:num w:numId="9">
    <w:abstractNumId w:val="23"/>
  </w:num>
  <w:num w:numId="10">
    <w:abstractNumId w:val="4"/>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abstractNumId w:val="22"/>
  </w:num>
  <w:num w:numId="12">
    <w:abstractNumId w:val="4"/>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abstractNumId w:val="18"/>
  </w:num>
  <w:num w:numId="14">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15">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16">
    <w:abstractNumId w:val="4"/>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abstractNumId w:val="4"/>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abstractNumId w:val="24"/>
  </w:num>
  <w:num w:numId="19">
    <w:abstractNumId w:val="6"/>
  </w:num>
  <w:num w:numId="20">
    <w:abstractNumId w:val="28"/>
  </w:num>
  <w:num w:numId="21">
    <w:abstractNumId w:val="26"/>
  </w:num>
  <w:num w:numId="22">
    <w:abstractNumId w:val="13"/>
  </w:num>
  <w:num w:numId="23">
    <w:abstractNumId w:val="19"/>
  </w:num>
  <w:num w:numId="24">
    <w:abstractNumId w:val="19"/>
    <w:lvlOverride w:ilvl="0">
      <w:lvl w:ilvl="0">
        <w:start w:val="1"/>
        <w:numFmt w:val="decimal"/>
        <w:lvlText w:val="%1."/>
        <w:legacy w:legacy="1" w:legacySpace="0" w:legacyIndent="360"/>
        <w:lvlJc w:val="left"/>
        <w:pPr>
          <w:ind w:left="1080" w:hanging="360"/>
        </w:pPr>
      </w:lvl>
    </w:lvlOverride>
  </w:num>
  <w:num w:numId="25">
    <w:abstractNumId w:val="19"/>
    <w:lvlOverride w:ilvl="0">
      <w:lvl w:ilvl="0">
        <w:start w:val="1"/>
        <w:numFmt w:val="decimal"/>
        <w:lvlText w:val="%1."/>
        <w:legacy w:legacy="1" w:legacySpace="0" w:legacyIndent="360"/>
        <w:lvlJc w:val="left"/>
        <w:pPr>
          <w:ind w:left="1440" w:hanging="360"/>
        </w:pPr>
      </w:lvl>
    </w:lvlOverride>
  </w:num>
  <w:num w:numId="26">
    <w:abstractNumId w:val="19"/>
    <w:lvlOverride w:ilvl="0">
      <w:lvl w:ilvl="0">
        <w:start w:val="1"/>
        <w:numFmt w:val="decimal"/>
        <w:lvlText w:val="%1."/>
        <w:legacy w:legacy="1" w:legacySpace="0" w:legacyIndent="360"/>
        <w:lvlJc w:val="left"/>
        <w:pPr>
          <w:ind w:left="1800" w:hanging="360"/>
        </w:pPr>
      </w:lvl>
    </w:lvlOverride>
  </w:num>
  <w:num w:numId="27">
    <w:abstractNumId w:val="19"/>
    <w:lvlOverride w:ilvl="0">
      <w:lvl w:ilvl="0">
        <w:start w:val="1"/>
        <w:numFmt w:val="decimal"/>
        <w:lvlText w:val="%1."/>
        <w:legacy w:legacy="1" w:legacySpace="0" w:legacyIndent="360"/>
        <w:lvlJc w:val="left"/>
        <w:pPr>
          <w:ind w:left="2160" w:hanging="360"/>
        </w:pPr>
      </w:lvl>
    </w:lvlOverride>
  </w:num>
  <w:num w:numId="28">
    <w:abstractNumId w:val="16"/>
  </w:num>
  <w:num w:numId="29">
    <w:abstractNumId w:val="10"/>
  </w:num>
  <w:num w:numId="30">
    <w:abstractNumId w:val="3"/>
  </w:num>
  <w:num w:numId="31">
    <w:abstractNumId w:val="2"/>
  </w:num>
  <w:num w:numId="32">
    <w:abstractNumId w:val="0"/>
  </w:num>
  <w:num w:numId="33">
    <w:abstractNumId w:val="1"/>
  </w:num>
  <w:num w:numId="34">
    <w:abstractNumId w:val="29"/>
  </w:num>
  <w:num w:numId="35">
    <w:abstractNumId w:val="17"/>
  </w:num>
  <w:num w:numId="36">
    <w:abstractNumId w:val="23"/>
    <w:lvlOverride w:ilvl="0">
      <w:lvl w:ilvl="0">
        <w:start w:val="1"/>
        <w:numFmt w:val="decimal"/>
        <w:lvlText w:val="%1."/>
        <w:legacy w:legacy="1" w:legacySpace="0" w:legacyIndent="360"/>
        <w:lvlJc w:val="left"/>
        <w:pPr>
          <w:ind w:left="720" w:hanging="360"/>
        </w:pPr>
        <w:rPr>
          <w:rFonts w:ascii="Tms Rmn" w:hAnsi="Tms Rmn" w:hint="default"/>
          <w:sz w:val="20"/>
        </w:rPr>
      </w:lvl>
    </w:lvlOverride>
  </w:num>
  <w:num w:numId="37">
    <w:abstractNumId w:val="25"/>
  </w:num>
  <w:num w:numId="38">
    <w:abstractNumId w:val="15"/>
  </w:num>
  <w:num w:numId="39">
    <w:abstractNumId w:val="32"/>
  </w:num>
  <w:num w:numId="40">
    <w:abstractNumId w:val="31"/>
  </w:num>
  <w:num w:numId="41">
    <w:abstractNumId w:val="27"/>
  </w:num>
  <w:num w:numId="42">
    <w:abstractNumId w:val="20"/>
  </w:num>
  <w:num w:numId="43">
    <w:abstractNumId w:val="12"/>
  </w:num>
  <w:num w:numId="44">
    <w:abstractNumId w:val="9"/>
  </w:num>
  <w:num w:numId="45">
    <w:abstractNumId w:val="14"/>
  </w:num>
  <w:num w:numId="46">
    <w:abstractNumId w:val="11"/>
  </w:num>
  <w:num w:numId="47">
    <w:abstractNumId w:val="30"/>
  </w:num>
  <w:num w:numId="48">
    <w:abstractNumId w:val="5"/>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rawingGridVertic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41D"/>
    <w:rsid w:val="000136C2"/>
    <w:rsid w:val="00013A42"/>
    <w:rsid w:val="00017C5C"/>
    <w:rsid w:val="00027466"/>
    <w:rsid w:val="0003284F"/>
    <w:rsid w:val="00046030"/>
    <w:rsid w:val="00057313"/>
    <w:rsid w:val="0007333F"/>
    <w:rsid w:val="00073A95"/>
    <w:rsid w:val="000A4CF3"/>
    <w:rsid w:val="000D03F3"/>
    <w:rsid w:val="000D28D5"/>
    <w:rsid w:val="000D2F9F"/>
    <w:rsid w:val="000E4443"/>
    <w:rsid w:val="000F1399"/>
    <w:rsid w:val="000F7EE0"/>
    <w:rsid w:val="00114336"/>
    <w:rsid w:val="00121456"/>
    <w:rsid w:val="00126541"/>
    <w:rsid w:val="00126772"/>
    <w:rsid w:val="0014617B"/>
    <w:rsid w:val="001A49ED"/>
    <w:rsid w:val="001C13D3"/>
    <w:rsid w:val="001F0F08"/>
    <w:rsid w:val="001F6068"/>
    <w:rsid w:val="00204732"/>
    <w:rsid w:val="002266ED"/>
    <w:rsid w:val="00235D37"/>
    <w:rsid w:val="0025062D"/>
    <w:rsid w:val="0026341D"/>
    <w:rsid w:val="00277B76"/>
    <w:rsid w:val="002A1995"/>
    <w:rsid w:val="002A2832"/>
    <w:rsid w:val="002B2628"/>
    <w:rsid w:val="002D4C6B"/>
    <w:rsid w:val="002F29A6"/>
    <w:rsid w:val="0031562B"/>
    <w:rsid w:val="00317572"/>
    <w:rsid w:val="0035389D"/>
    <w:rsid w:val="00360CC7"/>
    <w:rsid w:val="00371709"/>
    <w:rsid w:val="003820A1"/>
    <w:rsid w:val="00384B27"/>
    <w:rsid w:val="003871D2"/>
    <w:rsid w:val="0039477D"/>
    <w:rsid w:val="003A4F8C"/>
    <w:rsid w:val="003C4FF3"/>
    <w:rsid w:val="003D2659"/>
    <w:rsid w:val="0040359C"/>
    <w:rsid w:val="004175B2"/>
    <w:rsid w:val="004205D9"/>
    <w:rsid w:val="004265DB"/>
    <w:rsid w:val="004268FA"/>
    <w:rsid w:val="00444850"/>
    <w:rsid w:val="004558BF"/>
    <w:rsid w:val="004A4678"/>
    <w:rsid w:val="004F6216"/>
    <w:rsid w:val="005140A7"/>
    <w:rsid w:val="005A23FC"/>
    <w:rsid w:val="005B0DFE"/>
    <w:rsid w:val="005B305C"/>
    <w:rsid w:val="005C03EB"/>
    <w:rsid w:val="005D168B"/>
    <w:rsid w:val="005D26B9"/>
    <w:rsid w:val="005F577B"/>
    <w:rsid w:val="005F5B90"/>
    <w:rsid w:val="005F6105"/>
    <w:rsid w:val="00634427"/>
    <w:rsid w:val="00634C86"/>
    <w:rsid w:val="00655145"/>
    <w:rsid w:val="00670657"/>
    <w:rsid w:val="006765AB"/>
    <w:rsid w:val="00684F60"/>
    <w:rsid w:val="006B2ACC"/>
    <w:rsid w:val="006D2C7A"/>
    <w:rsid w:val="006E7A1B"/>
    <w:rsid w:val="00700E3C"/>
    <w:rsid w:val="00711756"/>
    <w:rsid w:val="00722B9C"/>
    <w:rsid w:val="00745DFA"/>
    <w:rsid w:val="00754711"/>
    <w:rsid w:val="007741A8"/>
    <w:rsid w:val="00784FBA"/>
    <w:rsid w:val="007A3843"/>
    <w:rsid w:val="007A4E9F"/>
    <w:rsid w:val="007B54A9"/>
    <w:rsid w:val="007B554C"/>
    <w:rsid w:val="007B7080"/>
    <w:rsid w:val="007C5FC5"/>
    <w:rsid w:val="00832D3A"/>
    <w:rsid w:val="00833FA9"/>
    <w:rsid w:val="0084757A"/>
    <w:rsid w:val="008515D0"/>
    <w:rsid w:val="008629BC"/>
    <w:rsid w:val="008A46AD"/>
    <w:rsid w:val="008B6D14"/>
    <w:rsid w:val="008E4DF6"/>
    <w:rsid w:val="008F1EDA"/>
    <w:rsid w:val="00900148"/>
    <w:rsid w:val="00902A6C"/>
    <w:rsid w:val="00912D42"/>
    <w:rsid w:val="009132E9"/>
    <w:rsid w:val="009533D3"/>
    <w:rsid w:val="00954B59"/>
    <w:rsid w:val="00961301"/>
    <w:rsid w:val="00961DEE"/>
    <w:rsid w:val="009620D9"/>
    <w:rsid w:val="00963DC4"/>
    <w:rsid w:val="00977C9A"/>
    <w:rsid w:val="00985431"/>
    <w:rsid w:val="009A4A64"/>
    <w:rsid w:val="009C0D62"/>
    <w:rsid w:val="009C1E4F"/>
    <w:rsid w:val="009D43DE"/>
    <w:rsid w:val="009E653A"/>
    <w:rsid w:val="009F0D44"/>
    <w:rsid w:val="009F295B"/>
    <w:rsid w:val="00A1169B"/>
    <w:rsid w:val="00A14EF4"/>
    <w:rsid w:val="00A27855"/>
    <w:rsid w:val="00A32468"/>
    <w:rsid w:val="00A755B4"/>
    <w:rsid w:val="00AA289B"/>
    <w:rsid w:val="00AD38DC"/>
    <w:rsid w:val="00AF1CC3"/>
    <w:rsid w:val="00AF5B2E"/>
    <w:rsid w:val="00B045A8"/>
    <w:rsid w:val="00B05090"/>
    <w:rsid w:val="00B2655A"/>
    <w:rsid w:val="00B32938"/>
    <w:rsid w:val="00B40B4C"/>
    <w:rsid w:val="00B41464"/>
    <w:rsid w:val="00B60561"/>
    <w:rsid w:val="00B75975"/>
    <w:rsid w:val="00B80C90"/>
    <w:rsid w:val="00B811A7"/>
    <w:rsid w:val="00B83FA9"/>
    <w:rsid w:val="00B9112D"/>
    <w:rsid w:val="00BA688A"/>
    <w:rsid w:val="00BA7EBB"/>
    <w:rsid w:val="00BB3879"/>
    <w:rsid w:val="00C32072"/>
    <w:rsid w:val="00C65299"/>
    <w:rsid w:val="00C74CDE"/>
    <w:rsid w:val="00C751FA"/>
    <w:rsid w:val="00C756E7"/>
    <w:rsid w:val="00C957C8"/>
    <w:rsid w:val="00CA7CF0"/>
    <w:rsid w:val="00CD0C6C"/>
    <w:rsid w:val="00CF0D27"/>
    <w:rsid w:val="00D02651"/>
    <w:rsid w:val="00D05564"/>
    <w:rsid w:val="00D14DCD"/>
    <w:rsid w:val="00D20313"/>
    <w:rsid w:val="00D41DBF"/>
    <w:rsid w:val="00D52703"/>
    <w:rsid w:val="00D61364"/>
    <w:rsid w:val="00D6516D"/>
    <w:rsid w:val="00D67B2C"/>
    <w:rsid w:val="00D828CC"/>
    <w:rsid w:val="00DA28BB"/>
    <w:rsid w:val="00DB05AE"/>
    <w:rsid w:val="00DD150E"/>
    <w:rsid w:val="00E02D41"/>
    <w:rsid w:val="00E16EE8"/>
    <w:rsid w:val="00E35659"/>
    <w:rsid w:val="00E4085D"/>
    <w:rsid w:val="00E413F0"/>
    <w:rsid w:val="00E446C7"/>
    <w:rsid w:val="00E61682"/>
    <w:rsid w:val="00E64DEE"/>
    <w:rsid w:val="00E84712"/>
    <w:rsid w:val="00EA1723"/>
    <w:rsid w:val="00EB2163"/>
    <w:rsid w:val="00EB237B"/>
    <w:rsid w:val="00EB6DA2"/>
    <w:rsid w:val="00EC23FE"/>
    <w:rsid w:val="00F14AAE"/>
    <w:rsid w:val="00F329A8"/>
    <w:rsid w:val="00F53C4B"/>
    <w:rsid w:val="00F56D46"/>
    <w:rsid w:val="00F8730F"/>
    <w:rsid w:val="00FA1897"/>
    <w:rsid w:val="00FD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4165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link w:val="CommentTextChar"/>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uiPriority w:val="99"/>
    <w:semiHidden/>
    <w:rPr>
      <w:sz w:val="18"/>
      <w:vertAlign w:val="superscript"/>
    </w:rPr>
  </w:style>
  <w:style w:type="paragraph" w:styleId="FootnoteText">
    <w:name w:val="footnote text"/>
    <w:basedOn w:val="Normal"/>
    <w:link w:val="FootnoteTextChar"/>
    <w:uiPriority w:val="99"/>
    <w:semiHidden/>
    <w:rsid w:val="00B9112D"/>
    <w:pPr>
      <w:spacing w:before="240" w:after="120"/>
    </w:pPr>
    <w:rPr>
      <w:sz w:val="18"/>
    </w:r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numPr>
        <w:numId w:val="1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semiHidden/>
    <w:rsid w:val="00DA28BB"/>
    <w:pPr>
      <w:spacing w:line="320" w:lineRule="atLeast"/>
    </w:pPr>
    <w:rPr>
      <w:rFonts w:ascii="Arial" w:hAnsi="Arial"/>
      <w:sz w:val="28"/>
    </w:rPr>
  </w:style>
  <w:style w:type="paragraph" w:styleId="TOC2">
    <w:name w:val="toc 2"/>
    <w:basedOn w:val="TOC1"/>
    <w:autoRedefine/>
    <w:semiHidden/>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uiPriority w:val="1"/>
    <w:rsid w:val="004265DB"/>
    <w:rPr>
      <w:rFonts w:ascii="Garamond" w:hAnsi="Garamond"/>
      <w:spacing w:val="-5"/>
      <w:sz w:val="24"/>
      <w:lang w:val="en-US" w:eastAsia="en-US" w:bidi="ar-SA"/>
    </w:rPr>
  </w:style>
  <w:style w:type="character" w:styleId="Hyperlink">
    <w:name w:val="Hyperlink"/>
    <w:basedOn w:val="DefaultParagraphFont"/>
    <w:rsid w:val="004265DB"/>
    <w:rPr>
      <w:color w:val="0000FF"/>
      <w:u w:val="single"/>
    </w:rPr>
  </w:style>
  <w:style w:type="table" w:styleId="TableGrid">
    <w:name w:val="Table Grid"/>
    <w:basedOn w:val="TableNormal"/>
    <w:uiPriority w:val="39"/>
    <w:rsid w:val="00EB2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CF0"/>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54B59"/>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954B59"/>
    <w:rPr>
      <w:rFonts w:ascii="Garamond" w:hAnsi="Garamond"/>
      <w:sz w:val="18"/>
    </w:rPr>
  </w:style>
  <w:style w:type="paragraph" w:styleId="CommentSubject">
    <w:name w:val="annotation subject"/>
    <w:basedOn w:val="CommentText"/>
    <w:next w:val="CommentText"/>
    <w:link w:val="CommentSubjectChar"/>
    <w:uiPriority w:val="99"/>
    <w:semiHidden/>
    <w:unhideWhenUsed/>
    <w:rsid w:val="00B811A7"/>
    <w:pPr>
      <w:tabs>
        <w:tab w:val="clear" w:pos="187"/>
      </w:tabs>
      <w:spacing w:after="0" w:line="240" w:lineRule="auto"/>
      <w:ind w:left="0" w:firstLine="0"/>
    </w:pPr>
    <w:rPr>
      <w:b/>
      <w:bCs/>
      <w:sz w:val="20"/>
    </w:rPr>
  </w:style>
  <w:style w:type="character" w:customStyle="1" w:styleId="CommentTextChar">
    <w:name w:val="Comment Text Char"/>
    <w:basedOn w:val="DefaultParagraphFont"/>
    <w:link w:val="CommentText"/>
    <w:semiHidden/>
    <w:rsid w:val="00B811A7"/>
    <w:rPr>
      <w:rFonts w:ascii="Garamond" w:hAnsi="Garamond"/>
      <w:sz w:val="16"/>
    </w:rPr>
  </w:style>
  <w:style w:type="character" w:customStyle="1" w:styleId="CommentSubjectChar">
    <w:name w:val="Comment Subject Char"/>
    <w:basedOn w:val="CommentTextChar"/>
    <w:link w:val="CommentSubject"/>
    <w:uiPriority w:val="99"/>
    <w:semiHidden/>
    <w:rsid w:val="00B811A7"/>
    <w:rPr>
      <w:rFonts w:ascii="Garamond" w:hAnsi="Garamond"/>
      <w:b/>
      <w:bCs/>
      <w:sz w:val="16"/>
    </w:rPr>
  </w:style>
  <w:style w:type="paragraph" w:styleId="Revision">
    <w:name w:val="Revision"/>
    <w:hidden/>
    <w:uiPriority w:val="99"/>
    <w:semiHidden/>
    <w:rsid w:val="00B811A7"/>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332139">
      <w:bodyDiv w:val="1"/>
      <w:marLeft w:val="0"/>
      <w:marRight w:val="0"/>
      <w:marTop w:val="0"/>
      <w:marBottom w:val="0"/>
      <w:divBdr>
        <w:top w:val="none" w:sz="0" w:space="0" w:color="auto"/>
        <w:left w:val="none" w:sz="0" w:space="0" w:color="auto"/>
        <w:bottom w:val="none" w:sz="0" w:space="0" w:color="auto"/>
        <w:right w:val="none" w:sz="0" w:space="0" w:color="auto"/>
      </w:divBdr>
    </w:div>
    <w:div w:id="130095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mailto:judpretrial@mt.g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mailto:judpretrial@mt.gov" TargetMode="External"/><Relationship Id="rId23" Type="http://schemas.openxmlformats.org/officeDocument/2006/relationships/image" Target="media/image2.emf"/><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6039</Words>
  <Characters>34425</Characters>
  <Application>Microsoft Office Word</Application>
  <DocSecurity>0</DocSecurity>
  <Lines>286</Lines>
  <Paragraphs>80</Paragraphs>
  <ScaleCrop>false</ScaleCrop>
  <Manager/>
  <Company/>
  <LinksUpToDate>false</LinksUpToDate>
  <CharactersWithSpaces>40384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2021-01-20T16:18:00Z</dcterms:created>
  <dcterms:modified xsi:type="dcterms:W3CDTF">2021-01-20T16:18:00Z</dcterms:modified>
</cp:coreProperties>
</file>