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F79" w:rsidRPr="0068060D" w:rsidRDefault="00042F79" w:rsidP="00042F79">
      <w:pPr>
        <w:autoSpaceDE w:val="0"/>
        <w:autoSpaceDN w:val="0"/>
        <w:jc w:val="both"/>
        <w:rPr>
          <w:rFonts w:cstheme="minorHAnsi"/>
          <w:b/>
          <w:bCs/>
          <w:sz w:val="24"/>
          <w:szCs w:val="24"/>
        </w:rPr>
      </w:pPr>
      <w:r w:rsidRPr="0068060D">
        <w:rPr>
          <w:rFonts w:cstheme="minorHAnsi"/>
          <w:b/>
          <w:sz w:val="24"/>
          <w:szCs w:val="24"/>
          <w:u w:val="single"/>
        </w:rPr>
        <w:t xml:space="preserve">Changing Behavior: The Practical Application of Incentives, Sanctions, Therapeutic Adjustments and Participant Oversight in Staffing and in Court </w:t>
      </w:r>
      <w:bookmarkStart w:id="0" w:name="_Hlk525822937"/>
    </w:p>
    <w:p w:rsidR="00042F79" w:rsidRPr="0068060D" w:rsidRDefault="00042F79" w:rsidP="00042F79">
      <w:pPr>
        <w:autoSpaceDE w:val="0"/>
        <w:autoSpaceDN w:val="0"/>
        <w:jc w:val="both"/>
        <w:rPr>
          <w:rFonts w:cstheme="minorHAnsi"/>
          <w:b/>
          <w:bCs/>
          <w:sz w:val="24"/>
          <w:szCs w:val="24"/>
        </w:rPr>
      </w:pPr>
      <w:r w:rsidRPr="0068060D">
        <w:rPr>
          <w:rFonts w:cstheme="minorHAnsi"/>
          <w:b/>
          <w:bCs/>
          <w:sz w:val="24"/>
          <w:szCs w:val="24"/>
        </w:rPr>
        <w:t xml:space="preserve">Presenter: Shannon Carey – NPC Research (and) Helen </w:t>
      </w:r>
      <w:proofErr w:type="spellStart"/>
      <w:r w:rsidRPr="0068060D">
        <w:rPr>
          <w:rFonts w:cstheme="minorHAnsi"/>
          <w:b/>
          <w:bCs/>
          <w:sz w:val="24"/>
          <w:szCs w:val="24"/>
        </w:rPr>
        <w:t>Harberts</w:t>
      </w:r>
      <w:proofErr w:type="spellEnd"/>
      <w:r w:rsidRPr="0068060D">
        <w:rPr>
          <w:rFonts w:cstheme="minorHAnsi"/>
          <w:b/>
          <w:bCs/>
          <w:sz w:val="24"/>
          <w:szCs w:val="24"/>
        </w:rPr>
        <w:t xml:space="preserve"> – NDCI Consultant</w:t>
      </w:r>
    </w:p>
    <w:p w:rsidR="00042F79" w:rsidRPr="0068060D" w:rsidRDefault="00042F79" w:rsidP="00042F79">
      <w:pPr>
        <w:autoSpaceDE w:val="0"/>
        <w:autoSpaceDN w:val="0"/>
        <w:adjustRightInd w:val="0"/>
        <w:jc w:val="both"/>
        <w:rPr>
          <w:rFonts w:cstheme="minorHAnsi"/>
          <w:sz w:val="24"/>
          <w:szCs w:val="24"/>
        </w:rPr>
      </w:pPr>
      <w:r w:rsidRPr="0068060D">
        <w:rPr>
          <w:rFonts w:cstheme="minorHAnsi"/>
          <w:sz w:val="24"/>
          <w:szCs w:val="24"/>
        </w:rPr>
        <w:t xml:space="preserve">What are effective incentives and sanctions? How do you decide on which ones to use? How do you deliver them in the courtroom? And what about therapeutic responses? The science of behavior change is complex and knowing how and when to use sanctions and incentives effectively can be challenging. Dr. Carey and Ms. </w:t>
      </w:r>
      <w:proofErr w:type="spellStart"/>
      <w:r w:rsidRPr="0068060D">
        <w:rPr>
          <w:rFonts w:cstheme="minorHAnsi"/>
          <w:sz w:val="24"/>
          <w:szCs w:val="24"/>
        </w:rPr>
        <w:t>Harberts</w:t>
      </w:r>
      <w:proofErr w:type="spellEnd"/>
      <w:r w:rsidRPr="0068060D">
        <w:rPr>
          <w:rFonts w:cstheme="minorHAnsi"/>
          <w:sz w:val="24"/>
          <w:szCs w:val="24"/>
        </w:rPr>
        <w:t xml:space="preserve"> will tackle this topic from the point of view of the researcher and practitioner with an emphasis on application: Specifically, how to pull together the information you need to make decisions in staffing and how to deliver the message in court.</w:t>
      </w:r>
    </w:p>
    <w:p w:rsidR="00042F79" w:rsidRPr="0068060D" w:rsidRDefault="00042F79" w:rsidP="00042F79">
      <w:pPr>
        <w:autoSpaceDE w:val="0"/>
        <w:autoSpaceDN w:val="0"/>
        <w:adjustRightInd w:val="0"/>
        <w:jc w:val="both"/>
        <w:rPr>
          <w:rFonts w:cstheme="minorHAnsi"/>
          <w:sz w:val="24"/>
          <w:szCs w:val="24"/>
        </w:rPr>
      </w:pPr>
      <w:r w:rsidRPr="0068060D">
        <w:rPr>
          <w:rFonts w:cstheme="minorHAnsi"/>
          <w:sz w:val="24"/>
          <w:szCs w:val="24"/>
        </w:rPr>
        <w:t xml:space="preserve"> </w:t>
      </w:r>
    </w:p>
    <w:p w:rsidR="00042F79" w:rsidRPr="0068060D" w:rsidRDefault="00042F79" w:rsidP="00042F79">
      <w:pPr>
        <w:pStyle w:val="Default"/>
        <w:jc w:val="both"/>
        <w:rPr>
          <w:rFonts w:asciiTheme="minorHAnsi" w:hAnsiTheme="minorHAnsi" w:cstheme="minorHAnsi"/>
        </w:rPr>
      </w:pPr>
      <w:r w:rsidRPr="0068060D">
        <w:rPr>
          <w:rFonts w:asciiTheme="minorHAnsi" w:hAnsiTheme="minorHAnsi" w:cstheme="minorHAnsi"/>
          <w:b/>
          <w:bCs/>
        </w:rPr>
        <w:t>Learning Objectives</w:t>
      </w:r>
      <w:r w:rsidRPr="0068060D">
        <w:rPr>
          <w:rFonts w:asciiTheme="minorHAnsi" w:hAnsiTheme="minorHAnsi" w:cstheme="minorHAnsi"/>
        </w:rPr>
        <w:t xml:space="preserve">-At the end of this session, participants will be able to: </w:t>
      </w:r>
    </w:p>
    <w:p w:rsidR="00042F79" w:rsidRPr="0068060D" w:rsidRDefault="00042F79" w:rsidP="00042F79">
      <w:pPr>
        <w:pStyle w:val="Default"/>
        <w:numPr>
          <w:ilvl w:val="0"/>
          <w:numId w:val="2"/>
        </w:numPr>
        <w:spacing w:after="38"/>
        <w:jc w:val="both"/>
        <w:rPr>
          <w:rFonts w:asciiTheme="minorHAnsi" w:hAnsiTheme="minorHAnsi" w:cstheme="minorHAnsi"/>
        </w:rPr>
      </w:pPr>
      <w:r w:rsidRPr="0068060D">
        <w:rPr>
          <w:rFonts w:asciiTheme="minorHAnsi" w:hAnsiTheme="minorHAnsi" w:cstheme="minorHAnsi"/>
        </w:rPr>
        <w:t xml:space="preserve">Learn how incentives and sanctions motivate participants to comply with program requirements </w:t>
      </w:r>
    </w:p>
    <w:p w:rsidR="00042F79" w:rsidRPr="0068060D" w:rsidRDefault="00042F79" w:rsidP="00042F79">
      <w:pPr>
        <w:pStyle w:val="Default"/>
        <w:numPr>
          <w:ilvl w:val="0"/>
          <w:numId w:val="2"/>
        </w:numPr>
        <w:spacing w:after="38"/>
        <w:ind w:right="-180"/>
        <w:jc w:val="both"/>
        <w:rPr>
          <w:rFonts w:asciiTheme="minorHAnsi" w:hAnsiTheme="minorHAnsi" w:cstheme="minorHAnsi"/>
        </w:rPr>
      </w:pPr>
      <w:r w:rsidRPr="0068060D">
        <w:rPr>
          <w:rFonts w:asciiTheme="minorHAnsi" w:hAnsiTheme="minorHAnsi" w:cstheme="minorHAnsi"/>
        </w:rPr>
        <w:t xml:space="preserve">Identify various incentives and sanctions that can be used to respond to a client ‘s conduct </w:t>
      </w:r>
    </w:p>
    <w:p w:rsidR="00042F79" w:rsidRPr="0068060D" w:rsidRDefault="00042F79" w:rsidP="00042F79">
      <w:pPr>
        <w:pStyle w:val="ListParagraph"/>
        <w:numPr>
          <w:ilvl w:val="0"/>
          <w:numId w:val="2"/>
        </w:numPr>
        <w:spacing w:before="120" w:after="120"/>
        <w:jc w:val="both"/>
        <w:rPr>
          <w:rFonts w:cstheme="minorHAnsi"/>
          <w:b/>
          <w:sz w:val="24"/>
          <w:szCs w:val="24"/>
          <w:u w:val="single"/>
        </w:rPr>
      </w:pPr>
      <w:r w:rsidRPr="0068060D">
        <w:rPr>
          <w:rFonts w:cstheme="minorHAnsi"/>
          <w:sz w:val="24"/>
          <w:szCs w:val="24"/>
        </w:rPr>
        <w:t>Lean that incentives and sanctions must be consistently and uniformly imposed</w:t>
      </w:r>
      <w:bookmarkEnd w:id="0"/>
    </w:p>
    <w:p w:rsidR="00042F79" w:rsidRPr="0068060D" w:rsidRDefault="00042F79" w:rsidP="00042F79">
      <w:pPr>
        <w:autoSpaceDE w:val="0"/>
        <w:autoSpaceDN w:val="0"/>
        <w:adjustRightInd w:val="0"/>
        <w:ind w:left="360"/>
        <w:jc w:val="both"/>
        <w:rPr>
          <w:rFonts w:cstheme="minorHAnsi"/>
          <w:b/>
          <w:sz w:val="24"/>
          <w:szCs w:val="24"/>
        </w:rPr>
      </w:pPr>
      <w:r w:rsidRPr="0068060D">
        <w:rPr>
          <w:rFonts w:cstheme="minorHAnsi"/>
          <w:b/>
          <w:sz w:val="24"/>
          <w:szCs w:val="24"/>
          <w:u w:val="single"/>
        </w:rPr>
        <w:t xml:space="preserve">Speaker: Helen </w:t>
      </w:r>
      <w:proofErr w:type="spellStart"/>
      <w:r w:rsidRPr="0068060D">
        <w:rPr>
          <w:rFonts w:cstheme="minorHAnsi"/>
          <w:b/>
          <w:sz w:val="24"/>
          <w:szCs w:val="24"/>
          <w:u w:val="single"/>
        </w:rPr>
        <w:t>Harberts</w:t>
      </w:r>
      <w:proofErr w:type="spellEnd"/>
      <w:r w:rsidRPr="0068060D">
        <w:rPr>
          <w:rFonts w:cstheme="minorHAnsi"/>
          <w:b/>
          <w:sz w:val="24"/>
          <w:szCs w:val="24"/>
          <w:u w:val="single"/>
        </w:rPr>
        <w:t>, M.A., J.D</w:t>
      </w:r>
      <w:r w:rsidRPr="0068060D">
        <w:rPr>
          <w:rFonts w:cstheme="minorHAnsi"/>
          <w:b/>
          <w:sz w:val="24"/>
          <w:szCs w:val="24"/>
        </w:rPr>
        <w:t>.</w:t>
      </w:r>
    </w:p>
    <w:p w:rsidR="00042F79" w:rsidRPr="0068060D" w:rsidRDefault="00042F79" w:rsidP="00042F79">
      <w:pPr>
        <w:pStyle w:val="ListParagraph"/>
        <w:autoSpaceDE w:val="0"/>
        <w:autoSpaceDN w:val="0"/>
        <w:adjustRightInd w:val="0"/>
        <w:jc w:val="both"/>
        <w:rPr>
          <w:rFonts w:cstheme="minorHAnsi"/>
          <w:sz w:val="24"/>
          <w:szCs w:val="24"/>
        </w:rPr>
      </w:pPr>
      <w:r w:rsidRPr="0068060D">
        <w:rPr>
          <w:rFonts w:cstheme="minorHAnsi"/>
          <w:sz w:val="24"/>
          <w:szCs w:val="24"/>
        </w:rPr>
        <w:t xml:space="preserve">Helen </w:t>
      </w:r>
      <w:proofErr w:type="spellStart"/>
      <w:r w:rsidRPr="0068060D">
        <w:rPr>
          <w:rFonts w:cstheme="minorHAnsi"/>
          <w:sz w:val="24"/>
          <w:szCs w:val="24"/>
        </w:rPr>
        <w:t>Harberts</w:t>
      </w:r>
      <w:proofErr w:type="spellEnd"/>
      <w:r w:rsidRPr="0068060D">
        <w:rPr>
          <w:rFonts w:cstheme="minorHAnsi"/>
          <w:sz w:val="24"/>
          <w:szCs w:val="24"/>
        </w:rPr>
        <w:t xml:space="preserve">, M.A., J.D. has been working in criminal justice since 1983. As a prosecutor, Ms. </w:t>
      </w:r>
      <w:proofErr w:type="spellStart"/>
      <w:r w:rsidRPr="0068060D">
        <w:rPr>
          <w:rFonts w:cstheme="minorHAnsi"/>
          <w:sz w:val="24"/>
          <w:szCs w:val="24"/>
        </w:rPr>
        <w:t>Harberts</w:t>
      </w:r>
      <w:proofErr w:type="spellEnd"/>
      <w:r w:rsidRPr="0068060D">
        <w:rPr>
          <w:rFonts w:cstheme="minorHAnsi"/>
          <w:sz w:val="24"/>
          <w:szCs w:val="24"/>
        </w:rPr>
        <w:t xml:space="preserve"> rose to become the Chief Deputy District Attorney in Butte County, CA.   As a Chief Probation Officer (1995-2002) over 5 years she implemented multiple problem-solving courts. After the stint in probation, she returned to her roots as a prosecuting attorney where she practiced law exclusively in problem solving courts for over 5 years.  She retired in 2011.    She popped out of retirement for 5 months in 2012-13, she served as the Interim Director of the Harris County (Texas) Community Supervision and Corrections Department in Houston. </w:t>
      </w:r>
    </w:p>
    <w:p w:rsidR="0008701C" w:rsidRPr="00042F79" w:rsidRDefault="00042F79" w:rsidP="00042F79">
      <w:r w:rsidRPr="0068060D">
        <w:rPr>
          <w:rFonts w:cstheme="minorHAnsi"/>
          <w:sz w:val="24"/>
          <w:szCs w:val="24"/>
        </w:rPr>
        <w:t xml:space="preserve">She has published a Life Skills Workbook for Hazelden Community Corrections Series, as well as chapters in “Drug Courts”, Springer Publications (2007) and the NDCI Judicial Bench book. Ms. </w:t>
      </w:r>
      <w:proofErr w:type="spellStart"/>
      <w:r w:rsidRPr="0068060D">
        <w:rPr>
          <w:rFonts w:cstheme="minorHAnsi"/>
          <w:sz w:val="24"/>
          <w:szCs w:val="24"/>
        </w:rPr>
        <w:t>Harberts</w:t>
      </w:r>
      <w:proofErr w:type="spellEnd"/>
      <w:r w:rsidRPr="0068060D">
        <w:rPr>
          <w:rFonts w:cstheme="minorHAnsi"/>
          <w:sz w:val="24"/>
          <w:szCs w:val="24"/>
        </w:rPr>
        <w:t xml:space="preserve"> continues to train probation and justice professionals across the United States.  Chief </w:t>
      </w:r>
      <w:proofErr w:type="spellStart"/>
      <w:r w:rsidRPr="0068060D">
        <w:rPr>
          <w:rFonts w:cstheme="minorHAnsi"/>
          <w:sz w:val="24"/>
          <w:szCs w:val="24"/>
        </w:rPr>
        <w:t>Harberts</w:t>
      </w:r>
      <w:proofErr w:type="spellEnd"/>
      <w:r w:rsidRPr="0068060D">
        <w:rPr>
          <w:rFonts w:cstheme="minorHAnsi"/>
          <w:sz w:val="24"/>
          <w:szCs w:val="24"/>
        </w:rPr>
        <w:t xml:space="preserve"> was California’s Chief Probation Officer of the Year in 2000 and was honored as the 2009 Prosecutor of the Year by Region 8 of the California Narcotics Officers Association.  In 2013, Ms. </w:t>
      </w:r>
      <w:proofErr w:type="spellStart"/>
      <w:r w:rsidRPr="0068060D">
        <w:rPr>
          <w:rFonts w:cstheme="minorHAnsi"/>
          <w:sz w:val="24"/>
          <w:szCs w:val="24"/>
        </w:rPr>
        <w:t>Harberts</w:t>
      </w:r>
      <w:proofErr w:type="spellEnd"/>
      <w:r w:rsidRPr="0068060D">
        <w:rPr>
          <w:rFonts w:cstheme="minorHAnsi"/>
          <w:sz w:val="24"/>
          <w:szCs w:val="24"/>
        </w:rPr>
        <w:t xml:space="preserve"> was inducted into the Stanley Goldstein Drug Court Hall of Fame.  It was the achievement of a professional lifetime.</w:t>
      </w:r>
      <w:bookmarkStart w:id="1" w:name="_GoBack"/>
      <w:bookmarkEnd w:id="1"/>
    </w:p>
    <w:sectPr w:rsidR="0008701C" w:rsidRPr="00042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80A51"/>
    <w:multiLevelType w:val="hybridMultilevel"/>
    <w:tmpl w:val="67745144"/>
    <w:lvl w:ilvl="0" w:tplc="04090001">
      <w:start w:val="1"/>
      <w:numFmt w:val="bullet"/>
      <w:lvlText w:val=""/>
      <w:lvlJc w:val="left"/>
      <w:pPr>
        <w:ind w:left="720" w:hanging="360"/>
      </w:pPr>
      <w:rPr>
        <w:rFonts w:ascii="Symbol" w:hAnsi="Symbol" w:hint="default"/>
      </w:rPr>
    </w:lvl>
    <w:lvl w:ilvl="1" w:tplc="13782564">
      <w:numFmt w:val="bullet"/>
      <w:lvlText w:val="•"/>
      <w:lvlJc w:val="left"/>
      <w:pPr>
        <w:ind w:left="1800" w:hanging="72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1D32440"/>
    <w:multiLevelType w:val="hybridMultilevel"/>
    <w:tmpl w:val="DD5CB7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3D"/>
    <w:rsid w:val="000007DB"/>
    <w:rsid w:val="00042F79"/>
    <w:rsid w:val="0008701C"/>
    <w:rsid w:val="004C663D"/>
    <w:rsid w:val="007A5C89"/>
    <w:rsid w:val="00893796"/>
    <w:rsid w:val="00970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A8275-2CEC-4637-9567-1A9835EC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63D"/>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2F79"/>
    <w:pPr>
      <w:widowControl w:val="0"/>
      <w:autoSpaceDE w:val="0"/>
      <w:autoSpaceDN w:val="0"/>
      <w:adjustRightInd w:val="0"/>
      <w:spacing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042F79"/>
    <w:pPr>
      <w:spacing w:after="200" w:line="276" w:lineRule="auto"/>
      <w:ind w:left="720"/>
      <w:contextualSpacing/>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Kevin</dc:creator>
  <cp:keywords/>
  <dc:description/>
  <cp:lastModifiedBy>Cook, Kevin</cp:lastModifiedBy>
  <cp:revision>2</cp:revision>
  <dcterms:created xsi:type="dcterms:W3CDTF">2018-10-15T14:29:00Z</dcterms:created>
  <dcterms:modified xsi:type="dcterms:W3CDTF">2018-10-15T14:29:00Z</dcterms:modified>
</cp:coreProperties>
</file>