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4C175" w14:textId="77777777" w:rsidR="00245904" w:rsidRDefault="00245904">
      <w:pPr>
        <w:pStyle w:val="HeadingTitle"/>
        <w:jc w:val="center"/>
      </w:pPr>
      <w:r>
        <w:t>Montana Judicial Branch</w:t>
      </w:r>
    </w:p>
    <w:p w14:paraId="0B8E8497" w14:textId="77777777" w:rsidR="00245904" w:rsidRDefault="00245904">
      <w:pPr>
        <w:pStyle w:val="HeadingTitle"/>
        <w:jc w:val="center"/>
      </w:pPr>
      <w:r>
        <w:t>Administrative Policies</w:t>
      </w:r>
    </w:p>
    <w:p w14:paraId="75815B96" w14:textId="77777777" w:rsidR="00245904" w:rsidRDefault="00245904"/>
    <w:p w14:paraId="7EA3754F" w14:textId="77777777" w:rsidR="00245904" w:rsidRDefault="0024590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7"/>
        <w:gridCol w:w="3613"/>
      </w:tblGrid>
      <w:tr w:rsidR="00245904" w14:paraId="55DC0EAF" w14:textId="77777777">
        <w:trPr>
          <w:cantSplit/>
        </w:trPr>
        <w:tc>
          <w:tcPr>
            <w:tcW w:w="2907" w:type="pct"/>
          </w:tcPr>
          <w:p w14:paraId="5FD86696" w14:textId="77777777" w:rsidR="00245904" w:rsidRDefault="00245904">
            <w:pPr>
              <w:rPr>
                <w:rFonts w:cs="Arial"/>
                <w:b/>
                <w:bCs/>
              </w:rPr>
            </w:pPr>
            <w:r>
              <w:rPr>
                <w:rFonts w:cs="Arial"/>
                <w:b/>
                <w:bCs/>
              </w:rPr>
              <w:t>Subject:  District Court Trial Expenses</w:t>
            </w:r>
          </w:p>
        </w:tc>
        <w:tc>
          <w:tcPr>
            <w:tcW w:w="2093" w:type="pct"/>
          </w:tcPr>
          <w:p w14:paraId="0BE47152" w14:textId="77777777" w:rsidR="00245904" w:rsidRDefault="00245904">
            <w:pPr>
              <w:rPr>
                <w:rFonts w:cs="Arial"/>
                <w:b/>
                <w:bCs/>
              </w:rPr>
            </w:pPr>
            <w:r>
              <w:rPr>
                <w:rFonts w:cs="Arial"/>
                <w:b/>
                <w:bCs/>
              </w:rPr>
              <w:t>Policy No.: 1010</w:t>
            </w:r>
          </w:p>
        </w:tc>
      </w:tr>
      <w:tr w:rsidR="00245904" w14:paraId="54210AE4" w14:textId="77777777">
        <w:trPr>
          <w:cantSplit/>
        </w:trPr>
        <w:tc>
          <w:tcPr>
            <w:tcW w:w="2907" w:type="pct"/>
          </w:tcPr>
          <w:p w14:paraId="762C3CBE" w14:textId="77777777" w:rsidR="00245904" w:rsidRDefault="00245904">
            <w:pPr>
              <w:rPr>
                <w:rFonts w:cs="Arial"/>
                <w:b/>
                <w:bCs/>
              </w:rPr>
            </w:pPr>
            <w:r>
              <w:rPr>
                <w:rFonts w:cs="Arial"/>
                <w:b/>
                <w:bCs/>
              </w:rPr>
              <w:t>Chapter:  Court</w:t>
            </w:r>
          </w:p>
        </w:tc>
        <w:tc>
          <w:tcPr>
            <w:tcW w:w="2093" w:type="pct"/>
          </w:tcPr>
          <w:p w14:paraId="1A2337D1" w14:textId="77777777" w:rsidR="00245904" w:rsidRDefault="00245904">
            <w:pPr>
              <w:rPr>
                <w:rFonts w:cs="Arial"/>
                <w:b/>
                <w:bCs/>
              </w:rPr>
            </w:pPr>
            <w:r>
              <w:rPr>
                <w:rFonts w:cs="Arial"/>
                <w:b/>
                <w:bCs/>
              </w:rPr>
              <w:t>Number of Pages:  4</w:t>
            </w:r>
          </w:p>
        </w:tc>
      </w:tr>
      <w:tr w:rsidR="00245904" w14:paraId="39C39200" w14:textId="77777777">
        <w:trPr>
          <w:cantSplit/>
        </w:trPr>
        <w:tc>
          <w:tcPr>
            <w:tcW w:w="2907" w:type="pct"/>
          </w:tcPr>
          <w:p w14:paraId="12ABAEFD" w14:textId="77777777" w:rsidR="00245904" w:rsidRDefault="00245904">
            <w:pPr>
              <w:rPr>
                <w:rFonts w:cs="Arial"/>
                <w:b/>
                <w:bCs/>
              </w:rPr>
            </w:pPr>
            <w:r>
              <w:rPr>
                <w:rFonts w:cs="Arial"/>
                <w:b/>
                <w:bCs/>
              </w:rPr>
              <w:t xml:space="preserve">Section:  3-5-901, 3-5-902, 3-5-604, 47-1-201, </w:t>
            </w:r>
          </w:p>
        </w:tc>
        <w:tc>
          <w:tcPr>
            <w:tcW w:w="2093" w:type="pct"/>
          </w:tcPr>
          <w:p w14:paraId="5F64D170" w14:textId="57D74A56" w:rsidR="00245904" w:rsidRDefault="00245904">
            <w:pPr>
              <w:rPr>
                <w:rFonts w:cs="Arial"/>
                <w:b/>
                <w:bCs/>
              </w:rPr>
            </w:pPr>
            <w:r>
              <w:rPr>
                <w:rFonts w:cs="Arial"/>
                <w:b/>
                <w:bCs/>
              </w:rPr>
              <w:t>Revision Date: March 16, 2004</w:t>
            </w:r>
            <w:r w:rsidR="00B94A86">
              <w:rPr>
                <w:rFonts w:cs="Arial"/>
                <w:b/>
                <w:bCs/>
              </w:rPr>
              <w:t>,</w:t>
            </w:r>
            <w:r w:rsidR="00D9539C">
              <w:rPr>
                <w:rFonts w:cs="Arial"/>
                <w:b/>
                <w:bCs/>
              </w:rPr>
              <w:t xml:space="preserve"> </w:t>
            </w:r>
            <w:r>
              <w:rPr>
                <w:rFonts w:cs="Arial"/>
                <w:b/>
                <w:bCs/>
              </w:rPr>
              <w:t>July 1, 2006</w:t>
            </w:r>
            <w:r w:rsidR="00B94A86">
              <w:rPr>
                <w:rFonts w:cs="Arial"/>
                <w:b/>
                <w:bCs/>
              </w:rPr>
              <w:t>, and June 20, 2017</w:t>
            </w:r>
            <w:r w:rsidR="006934E8">
              <w:rPr>
                <w:rFonts w:cs="Arial"/>
                <w:b/>
                <w:bCs/>
              </w:rPr>
              <w:t>; July 1, 2019</w:t>
            </w:r>
            <w:r w:rsidR="00C83D4D">
              <w:rPr>
                <w:rFonts w:cs="Arial"/>
                <w:b/>
                <w:bCs/>
              </w:rPr>
              <w:t>;</w:t>
            </w:r>
            <w:r w:rsidR="0053161E">
              <w:rPr>
                <w:rFonts w:cs="Arial"/>
                <w:b/>
                <w:bCs/>
              </w:rPr>
              <w:t xml:space="preserve"> November 14, 2023</w:t>
            </w:r>
          </w:p>
        </w:tc>
      </w:tr>
      <w:tr w:rsidR="00245904" w14:paraId="4C3BD7ED" w14:textId="77777777">
        <w:trPr>
          <w:cantSplit/>
        </w:trPr>
        <w:tc>
          <w:tcPr>
            <w:tcW w:w="2907" w:type="pct"/>
          </w:tcPr>
          <w:p w14:paraId="1EC4DB73" w14:textId="77777777" w:rsidR="00245904" w:rsidRDefault="00245904">
            <w:pPr>
              <w:rPr>
                <w:rFonts w:cs="Arial"/>
                <w:b/>
                <w:bCs/>
              </w:rPr>
            </w:pPr>
            <w:r>
              <w:rPr>
                <w:rFonts w:cs="Arial"/>
                <w:b/>
                <w:bCs/>
              </w:rPr>
              <w:t>Effective Date:  July 1, 2006</w:t>
            </w:r>
          </w:p>
        </w:tc>
        <w:tc>
          <w:tcPr>
            <w:tcW w:w="2093" w:type="pct"/>
          </w:tcPr>
          <w:p w14:paraId="01238F44" w14:textId="77777777" w:rsidR="00245904" w:rsidRDefault="00245904">
            <w:pPr>
              <w:rPr>
                <w:rFonts w:cs="Arial"/>
                <w:b/>
                <w:bCs/>
              </w:rPr>
            </w:pPr>
          </w:p>
        </w:tc>
      </w:tr>
    </w:tbl>
    <w:p w14:paraId="2ED79018" w14:textId="77777777" w:rsidR="00245904" w:rsidRDefault="00245904"/>
    <w:p w14:paraId="1EBFA45D" w14:textId="77777777" w:rsidR="00245904" w:rsidRDefault="00245904">
      <w:pPr>
        <w:pStyle w:val="Heading1"/>
        <w:numPr>
          <w:ilvl w:val="0"/>
          <w:numId w:val="6"/>
        </w:numPr>
        <w:rPr>
          <w:caps/>
        </w:rPr>
      </w:pPr>
      <w:r>
        <w:rPr>
          <w:caps/>
        </w:rPr>
        <w:t xml:space="preserve"> </w:t>
      </w:r>
      <w:r>
        <w:rPr>
          <w:caps/>
        </w:rPr>
        <w:tab/>
        <w:t>Policy</w:t>
      </w:r>
    </w:p>
    <w:p w14:paraId="39114DBD" w14:textId="77777777" w:rsidR="00245904" w:rsidRDefault="00245904">
      <w:pPr>
        <w:rPr>
          <w:b/>
          <w:bCs/>
        </w:rPr>
      </w:pPr>
    </w:p>
    <w:p w14:paraId="67E03036" w14:textId="77777777" w:rsidR="00245904" w:rsidRDefault="00245904">
      <w:pPr>
        <w:pStyle w:val="Paragraph"/>
      </w:pPr>
      <w:r>
        <w:t xml:space="preserve">Certain transcript fees, witness fees and necessary expenses, and juror fees are Judicial Branch costs. Certain payments to be made by the Office of the Court Administrator must be accompanied by a valid court order. </w:t>
      </w:r>
    </w:p>
    <w:p w14:paraId="1EA67EAE" w14:textId="77777777" w:rsidR="00245904" w:rsidRDefault="00245904">
      <w:pPr>
        <w:pStyle w:val="Heading1"/>
        <w:numPr>
          <w:ilvl w:val="0"/>
          <w:numId w:val="0"/>
        </w:numPr>
        <w:rPr>
          <w:rFonts w:cs="Times New Roman"/>
          <w:b w:val="0"/>
          <w:bCs w:val="0"/>
          <w:kern w:val="0"/>
          <w:szCs w:val="24"/>
        </w:rPr>
      </w:pPr>
    </w:p>
    <w:p w14:paraId="7456A4BC" w14:textId="77777777" w:rsidR="00245904" w:rsidRDefault="00245904">
      <w:pPr>
        <w:pStyle w:val="Heading1"/>
        <w:numPr>
          <w:ilvl w:val="0"/>
          <w:numId w:val="6"/>
        </w:numPr>
      </w:pPr>
      <w:r>
        <w:rPr>
          <w:rFonts w:cs="Times New Roman"/>
          <w:b w:val="0"/>
          <w:bCs w:val="0"/>
          <w:kern w:val="0"/>
          <w:szCs w:val="24"/>
        </w:rPr>
        <w:t xml:space="preserve"> </w:t>
      </w:r>
      <w:r>
        <w:rPr>
          <w:rFonts w:cs="Times New Roman"/>
          <w:b w:val="0"/>
          <w:bCs w:val="0"/>
          <w:kern w:val="0"/>
          <w:szCs w:val="24"/>
        </w:rPr>
        <w:tab/>
      </w:r>
      <w:r>
        <w:t>Transcript Fees</w:t>
      </w:r>
    </w:p>
    <w:p w14:paraId="3AFAC419" w14:textId="77777777" w:rsidR="00245904" w:rsidRDefault="00245904">
      <w:pPr>
        <w:rPr>
          <w:caps/>
        </w:rPr>
      </w:pPr>
    </w:p>
    <w:p w14:paraId="4141BA0A" w14:textId="77777777" w:rsidR="00245904" w:rsidRDefault="00245904">
      <w:pPr>
        <w:pStyle w:val="Heading2"/>
        <w:numPr>
          <w:ilvl w:val="1"/>
          <w:numId w:val="6"/>
        </w:numPr>
      </w:pPr>
      <w:r>
        <w:t>Civil Cases:</w:t>
      </w:r>
    </w:p>
    <w:p w14:paraId="118AEC00" w14:textId="77777777" w:rsidR="00245904" w:rsidRDefault="00245904">
      <w:pPr>
        <w:pStyle w:val="Heading3"/>
        <w:numPr>
          <w:ilvl w:val="2"/>
          <w:numId w:val="6"/>
        </w:numPr>
        <w:rPr>
          <w:b w:val="0"/>
          <w:bCs w:val="0"/>
          <w:sz w:val="24"/>
        </w:rPr>
      </w:pPr>
      <w:r>
        <w:rPr>
          <w:b w:val="0"/>
          <w:bCs w:val="0"/>
          <w:sz w:val="24"/>
        </w:rPr>
        <w:t xml:space="preserve">Pursuant to 3-5-604, MCA, if the judge requires a copy of the transcript in a civil case to assist in rendering a decision, the reporter shall furnish the copy without charge. </w:t>
      </w:r>
    </w:p>
    <w:p w14:paraId="198C71BA" w14:textId="77777777" w:rsidR="00245904" w:rsidRDefault="00245904">
      <w:pPr>
        <w:pStyle w:val="Heading3"/>
        <w:numPr>
          <w:ilvl w:val="2"/>
          <w:numId w:val="6"/>
        </w:numPr>
        <w:rPr>
          <w:b w:val="0"/>
          <w:bCs w:val="0"/>
          <w:sz w:val="24"/>
        </w:rPr>
      </w:pPr>
      <w:r>
        <w:rPr>
          <w:b w:val="0"/>
          <w:bCs w:val="0"/>
          <w:sz w:val="24"/>
        </w:rPr>
        <w:t xml:space="preserve">In civil cases in which the county is a party, all transcripts requested by the legal representative of the county must be furnished and the county shall pay the reporter’s actual cost of preparation. The Judicial Branch is not responsible for the cost of civil transcripts requested by the county. </w:t>
      </w:r>
    </w:p>
    <w:p w14:paraId="3BF3A91D" w14:textId="77777777" w:rsidR="00245904" w:rsidRDefault="00245904">
      <w:pPr>
        <w:pStyle w:val="Heading3"/>
        <w:numPr>
          <w:ilvl w:val="2"/>
          <w:numId w:val="6"/>
        </w:numPr>
        <w:rPr>
          <w:b w:val="0"/>
          <w:bCs w:val="0"/>
          <w:sz w:val="24"/>
        </w:rPr>
      </w:pPr>
      <w:r>
        <w:rPr>
          <w:b w:val="0"/>
          <w:bCs w:val="0"/>
          <w:sz w:val="24"/>
        </w:rPr>
        <w:t>In cases pursuant to Title 41, chapter 3 or Title 41, chapter 5, MCA,</w:t>
      </w:r>
      <w:r>
        <w:t xml:space="preserve"> </w:t>
      </w:r>
      <w:r>
        <w:rPr>
          <w:b w:val="0"/>
          <w:bCs w:val="0"/>
          <w:sz w:val="24"/>
        </w:rPr>
        <w:t>if a public defender, as defined in 47-1-103, MCA, requests a transcript, the transcript must be furnished to the public defender and paid for by the state office of public defender, as provided in 47-1-201, MCA.</w:t>
      </w:r>
    </w:p>
    <w:p w14:paraId="0DAB8E63" w14:textId="77777777" w:rsidR="00245904" w:rsidRDefault="00245904" w:rsidP="002F0EF1">
      <w:pPr>
        <w:pStyle w:val="Heading3"/>
        <w:keepNext w:val="0"/>
        <w:numPr>
          <w:ilvl w:val="2"/>
          <w:numId w:val="6"/>
        </w:numPr>
        <w:rPr>
          <w:b w:val="0"/>
          <w:bCs w:val="0"/>
          <w:sz w:val="24"/>
        </w:rPr>
      </w:pPr>
      <w:r>
        <w:rPr>
          <w:b w:val="0"/>
          <w:bCs w:val="0"/>
          <w:sz w:val="24"/>
        </w:rPr>
        <w:t xml:space="preserve">In cases pursuant to Title 41, chapter 3 or Title 41, chapter 5, MCA, if an indigent party is eligible for a public defender but is acting pro se and requests a transcript, the transcript must be furnished to the party and paid for by the Office of the Court Administrator as provided in 3-5-604, MCA. A valid court order stating that the person is indigent but has elected to proceed in the cause without an assigned public defender must accompany the invoice. </w:t>
      </w:r>
    </w:p>
    <w:p w14:paraId="09821F12" w14:textId="77777777" w:rsidR="00245904" w:rsidRDefault="00245904">
      <w:pPr>
        <w:pStyle w:val="Heading3"/>
        <w:numPr>
          <w:ilvl w:val="0"/>
          <w:numId w:val="0"/>
        </w:numPr>
        <w:rPr>
          <w:b w:val="0"/>
          <w:bCs w:val="0"/>
          <w:sz w:val="24"/>
        </w:rPr>
      </w:pPr>
    </w:p>
    <w:p w14:paraId="5FEEA45E" w14:textId="77777777" w:rsidR="00245904" w:rsidRDefault="00245904">
      <w:pPr>
        <w:ind w:left="1440"/>
      </w:pPr>
    </w:p>
    <w:p w14:paraId="61249824" w14:textId="77777777" w:rsidR="00245904" w:rsidRDefault="00245904">
      <w:pPr>
        <w:ind w:left="1440"/>
      </w:pPr>
    </w:p>
    <w:p w14:paraId="53ED8FCB" w14:textId="77777777" w:rsidR="00245904" w:rsidRDefault="00245904">
      <w:pPr>
        <w:pStyle w:val="Footer"/>
        <w:tabs>
          <w:tab w:val="clear" w:pos="4320"/>
          <w:tab w:val="clear" w:pos="8640"/>
        </w:tabs>
      </w:pPr>
    </w:p>
    <w:p w14:paraId="5BB23C1B" w14:textId="77777777" w:rsidR="00245904" w:rsidRDefault="00245904">
      <w:pPr>
        <w:pStyle w:val="Heading2"/>
        <w:numPr>
          <w:ilvl w:val="1"/>
          <w:numId w:val="6"/>
        </w:numPr>
      </w:pPr>
      <w:r>
        <w:t xml:space="preserve"> Criminal Cases:</w:t>
      </w:r>
    </w:p>
    <w:p w14:paraId="5FB8BE16" w14:textId="77777777" w:rsidR="00245904" w:rsidRDefault="00245904">
      <w:pPr>
        <w:pStyle w:val="Heading3"/>
        <w:numPr>
          <w:ilvl w:val="2"/>
          <w:numId w:val="6"/>
        </w:numPr>
        <w:rPr>
          <w:b w:val="0"/>
          <w:bCs w:val="0"/>
          <w:sz w:val="24"/>
        </w:rPr>
      </w:pPr>
      <w:r>
        <w:rPr>
          <w:b w:val="0"/>
          <w:bCs w:val="0"/>
          <w:sz w:val="24"/>
        </w:rPr>
        <w:t>If the county attorney, attorney general, or judge requires a transcript in a criminal case, the reporter shall furnish it. The Office of the Court Administrator as provided in 3-5-604, MCA must pay the transcription fee.  A valid court order stating that the county attorney, attorney general or judge requested the transcript must accompany the invoice.</w:t>
      </w:r>
    </w:p>
    <w:p w14:paraId="4D612982" w14:textId="77777777" w:rsidR="00245904" w:rsidRDefault="00245904">
      <w:pPr>
        <w:pStyle w:val="Heading3"/>
        <w:numPr>
          <w:ilvl w:val="2"/>
          <w:numId w:val="6"/>
        </w:numPr>
        <w:rPr>
          <w:b w:val="0"/>
          <w:bCs w:val="0"/>
          <w:sz w:val="24"/>
        </w:rPr>
      </w:pPr>
      <w:r>
        <w:rPr>
          <w:b w:val="0"/>
          <w:bCs w:val="0"/>
          <w:sz w:val="24"/>
        </w:rPr>
        <w:t xml:space="preserve">If an indigent party is eligible for a public defender but is acting pro se and requests a transcript, the transcript must be furnished to the party and paid for by the Office of the Court Administrator, as provided in 3-5-604, MCA.  A valid court order stating that the person is indigent but has elected to proceed in the cause without an assigned public defender must accompany the invoice. </w:t>
      </w:r>
    </w:p>
    <w:p w14:paraId="23824010" w14:textId="77777777" w:rsidR="00245904" w:rsidRDefault="00245904">
      <w:pPr>
        <w:pStyle w:val="Heading3"/>
        <w:numPr>
          <w:ilvl w:val="2"/>
          <w:numId w:val="6"/>
        </w:numPr>
        <w:rPr>
          <w:b w:val="0"/>
          <w:bCs w:val="0"/>
          <w:sz w:val="24"/>
        </w:rPr>
      </w:pPr>
      <w:r>
        <w:rPr>
          <w:b w:val="0"/>
          <w:bCs w:val="0"/>
          <w:sz w:val="24"/>
        </w:rPr>
        <w:t>If a public defender, as defined in 47-1-103, MCA, requests a transcript, the transcript must be furnished to the public defender and paid for by the state office of public defender, as provided in 47-1-201, MCA.</w:t>
      </w:r>
    </w:p>
    <w:p w14:paraId="56E06580" w14:textId="77777777" w:rsidR="00245904" w:rsidRDefault="00245904">
      <w:pPr>
        <w:rPr>
          <w:u w:val="single"/>
        </w:rPr>
      </w:pPr>
    </w:p>
    <w:p w14:paraId="79A2C879" w14:textId="77777777" w:rsidR="00245904" w:rsidRDefault="00245904">
      <w:pPr>
        <w:ind w:left="1440"/>
        <w:rPr>
          <w:u w:val="single"/>
        </w:rPr>
      </w:pPr>
    </w:p>
    <w:p w14:paraId="74F1B627" w14:textId="77777777" w:rsidR="00245904" w:rsidRDefault="00245904">
      <w:pPr>
        <w:pStyle w:val="Heading1"/>
        <w:numPr>
          <w:ilvl w:val="0"/>
          <w:numId w:val="0"/>
        </w:numPr>
        <w:rPr>
          <w:caps/>
        </w:rPr>
      </w:pPr>
      <w:r>
        <w:rPr>
          <w:caps/>
        </w:rPr>
        <w:t>3.0</w:t>
      </w:r>
      <w:r>
        <w:rPr>
          <w:caps/>
        </w:rPr>
        <w:tab/>
        <w:t>Jury Fees and Expenses:</w:t>
      </w:r>
    </w:p>
    <w:p w14:paraId="77E5DB18" w14:textId="77777777" w:rsidR="00245904" w:rsidRDefault="00245904"/>
    <w:p w14:paraId="48131B55" w14:textId="77777777" w:rsidR="00245904" w:rsidRDefault="00245904">
      <w:pPr>
        <w:pStyle w:val="Paragraph"/>
      </w:pPr>
      <w:r>
        <w:t>Pursuant to 3-15-201, MCA, the Office of the Court Administrator shall reimburse counties for jury fees for attendance before a district court plus a mileage allowance (at state rates) for traveling each way between their residence and the county seat.</w:t>
      </w:r>
    </w:p>
    <w:p w14:paraId="200C7036" w14:textId="77777777" w:rsidR="00245904" w:rsidRDefault="00245904">
      <w:pPr>
        <w:pStyle w:val="Paragraph"/>
        <w:rPr>
          <w:u w:val="single"/>
        </w:rPr>
      </w:pPr>
    </w:p>
    <w:p w14:paraId="1839836A" w14:textId="77777777" w:rsidR="00245904" w:rsidRDefault="00245904">
      <w:pPr>
        <w:pStyle w:val="Heading2"/>
        <w:numPr>
          <w:ilvl w:val="0"/>
          <w:numId w:val="0"/>
        </w:numPr>
        <w:ind w:left="2160" w:hanging="720"/>
      </w:pPr>
      <w:r>
        <w:t xml:space="preserve">3.1 </w:t>
      </w:r>
      <w:r>
        <w:tab/>
        <w:t>Potential jurors will receive $12 per day plus mileage until selected for the jury or dismissed.</w:t>
      </w:r>
    </w:p>
    <w:p w14:paraId="71732B08" w14:textId="77777777" w:rsidR="00245904" w:rsidRDefault="00245904">
      <w:pPr>
        <w:rPr>
          <w:u w:val="single"/>
        </w:rPr>
      </w:pPr>
    </w:p>
    <w:p w14:paraId="6A46D494" w14:textId="77777777" w:rsidR="00245904" w:rsidRDefault="00245904">
      <w:pPr>
        <w:pStyle w:val="Heading2"/>
        <w:numPr>
          <w:ilvl w:val="0"/>
          <w:numId w:val="0"/>
        </w:numPr>
        <w:tabs>
          <w:tab w:val="left" w:pos="1080"/>
        </w:tabs>
        <w:ind w:left="2160" w:hanging="720"/>
      </w:pPr>
      <w:r>
        <w:t xml:space="preserve">3.2 </w:t>
      </w:r>
      <w:r>
        <w:tab/>
        <w:t>A person selected to sit on a jury will receive $25 per day plus mileage.</w:t>
      </w:r>
    </w:p>
    <w:p w14:paraId="3A562994" w14:textId="77777777" w:rsidR="00245904" w:rsidRDefault="00245904">
      <w:pPr>
        <w:pStyle w:val="Footer"/>
        <w:tabs>
          <w:tab w:val="clear" w:pos="4320"/>
          <w:tab w:val="clear" w:pos="8640"/>
        </w:tabs>
      </w:pPr>
    </w:p>
    <w:p w14:paraId="1685D741" w14:textId="77777777" w:rsidR="00245904" w:rsidRDefault="00245904">
      <w:pPr>
        <w:pStyle w:val="Footer"/>
        <w:tabs>
          <w:tab w:val="clear" w:pos="4320"/>
          <w:tab w:val="clear" w:pos="8640"/>
        </w:tabs>
      </w:pPr>
    </w:p>
    <w:p w14:paraId="279F8CD7" w14:textId="77777777" w:rsidR="00245904" w:rsidRDefault="00245904">
      <w:pPr>
        <w:pStyle w:val="Heading1"/>
        <w:numPr>
          <w:ilvl w:val="0"/>
          <w:numId w:val="8"/>
        </w:numPr>
        <w:rPr>
          <w:caps/>
        </w:rPr>
      </w:pPr>
      <w:r>
        <w:tab/>
      </w:r>
      <w:r>
        <w:rPr>
          <w:caps/>
        </w:rPr>
        <w:t>Witness Fees and Expenses:</w:t>
      </w:r>
    </w:p>
    <w:p w14:paraId="2EEADEBC" w14:textId="77777777" w:rsidR="00245904" w:rsidRDefault="00245904">
      <w:pPr>
        <w:rPr>
          <w:caps/>
        </w:rPr>
      </w:pPr>
    </w:p>
    <w:p w14:paraId="036FA8D8" w14:textId="77777777" w:rsidR="00245904" w:rsidRDefault="00245904">
      <w:r>
        <w:t>When a person attends before a judge, grand jury, or court as a witness in a criminal case or a case held pursuant to Title 41, chapter 3 or Title 41, chapter 5, MCA, upon a subpoena, the witness must receive the witness fee.   The fees are paid as follows:</w:t>
      </w:r>
    </w:p>
    <w:p w14:paraId="6DAD1213" w14:textId="77777777" w:rsidR="00245904" w:rsidRDefault="00245904">
      <w:pPr>
        <w:pStyle w:val="Heading3"/>
        <w:numPr>
          <w:ilvl w:val="2"/>
          <w:numId w:val="7"/>
        </w:numPr>
        <w:rPr>
          <w:b w:val="0"/>
          <w:bCs w:val="0"/>
          <w:sz w:val="24"/>
          <w:u w:val="single"/>
        </w:rPr>
      </w:pPr>
      <w:r>
        <w:rPr>
          <w:b w:val="0"/>
          <w:bCs w:val="0"/>
          <w:sz w:val="24"/>
        </w:rPr>
        <w:t>When a witness is subpoenaed by a public defender, as defined in 47-1-103, MCA, the fees and expenses must be paid by the state office of public defender as provided in 47-1-201, MCA.</w:t>
      </w:r>
    </w:p>
    <w:p w14:paraId="239B582B" w14:textId="39C7162C" w:rsidR="00245904" w:rsidRPr="00D9539C" w:rsidRDefault="00245904">
      <w:pPr>
        <w:pStyle w:val="Heading3"/>
        <w:numPr>
          <w:ilvl w:val="2"/>
          <w:numId w:val="7"/>
        </w:numPr>
        <w:rPr>
          <w:b w:val="0"/>
          <w:bCs w:val="0"/>
          <w:sz w:val="24"/>
        </w:rPr>
      </w:pPr>
      <w:r w:rsidRPr="00D9539C">
        <w:rPr>
          <w:b w:val="0"/>
          <w:bCs w:val="0"/>
          <w:sz w:val="24"/>
        </w:rPr>
        <w:t xml:space="preserve">In a proceeding, when a witness is subpoenaed on behalf of the attorney general or a county attorney, the </w:t>
      </w:r>
      <w:r w:rsidR="00751F84" w:rsidRPr="00D9539C">
        <w:rPr>
          <w:b w:val="0"/>
          <w:bCs w:val="0"/>
          <w:sz w:val="24"/>
        </w:rPr>
        <w:t xml:space="preserve">statutory </w:t>
      </w:r>
      <w:r w:rsidRPr="00D9539C">
        <w:rPr>
          <w:b w:val="0"/>
          <w:bCs w:val="0"/>
          <w:sz w:val="24"/>
        </w:rPr>
        <w:t>witness fees and expenses must be paid by</w:t>
      </w:r>
      <w:r w:rsidR="006934E8" w:rsidRPr="00D9539C">
        <w:rPr>
          <w:b w:val="0"/>
          <w:bCs w:val="0"/>
          <w:sz w:val="24"/>
        </w:rPr>
        <w:t xml:space="preserve"> the Attorney General’s office or the county attorney pursuant to 26-2-506, MCA.</w:t>
      </w:r>
      <w:r w:rsidRPr="00D9539C">
        <w:rPr>
          <w:b w:val="0"/>
          <w:bCs w:val="0"/>
          <w:sz w:val="24"/>
        </w:rPr>
        <w:t xml:space="preserve"> </w:t>
      </w:r>
    </w:p>
    <w:p w14:paraId="19922771" w14:textId="77777777" w:rsidR="00245904" w:rsidRDefault="00245904">
      <w:pPr>
        <w:pStyle w:val="Heading3"/>
        <w:numPr>
          <w:ilvl w:val="2"/>
          <w:numId w:val="7"/>
        </w:numPr>
        <w:rPr>
          <w:b w:val="0"/>
          <w:bCs w:val="0"/>
          <w:sz w:val="24"/>
        </w:rPr>
      </w:pPr>
      <w:r>
        <w:rPr>
          <w:b w:val="0"/>
          <w:bCs w:val="0"/>
          <w:sz w:val="24"/>
        </w:rPr>
        <w:t xml:space="preserve">In any proceeding in which a defendant or respondent is entitled to a public defender, as defined in 47-1-103, MCA, but is acting pro se, the </w:t>
      </w:r>
      <w:r w:rsidR="00D13F66">
        <w:rPr>
          <w:b w:val="0"/>
          <w:bCs w:val="0"/>
          <w:sz w:val="24"/>
        </w:rPr>
        <w:t>statu</w:t>
      </w:r>
      <w:r w:rsidR="00751F84">
        <w:rPr>
          <w:b w:val="0"/>
          <w:bCs w:val="0"/>
          <w:sz w:val="24"/>
        </w:rPr>
        <w:t xml:space="preserve">tory </w:t>
      </w:r>
      <w:r>
        <w:rPr>
          <w:b w:val="0"/>
          <w:bCs w:val="0"/>
          <w:sz w:val="24"/>
        </w:rPr>
        <w:t xml:space="preserve">witness fees and expenses must be paid by the Office of the Court Administrator. A copy of the subpoena must accompany the request for reimbursement. </w:t>
      </w:r>
    </w:p>
    <w:p w14:paraId="64A7382D" w14:textId="77777777" w:rsidR="00245904" w:rsidRDefault="00245904">
      <w:pPr>
        <w:ind w:left="540"/>
      </w:pPr>
    </w:p>
    <w:p w14:paraId="7E23120D" w14:textId="77777777" w:rsidR="00245904" w:rsidRDefault="00245904">
      <w:pPr>
        <w:pStyle w:val="Heading1"/>
        <w:numPr>
          <w:ilvl w:val="0"/>
          <w:numId w:val="0"/>
        </w:numPr>
        <w:rPr>
          <w:rFonts w:cs="Times New Roman"/>
          <w:b w:val="0"/>
          <w:bCs w:val="0"/>
          <w:kern w:val="0"/>
          <w:szCs w:val="24"/>
        </w:rPr>
      </w:pPr>
    </w:p>
    <w:p w14:paraId="0F0F891F" w14:textId="7D3582F0" w:rsidR="00B15811" w:rsidRDefault="00245904">
      <w:pPr>
        <w:pStyle w:val="Heading1"/>
        <w:numPr>
          <w:ilvl w:val="0"/>
          <w:numId w:val="7"/>
        </w:numPr>
        <w:rPr>
          <w:rFonts w:cs="Times New Roman"/>
          <w:kern w:val="0"/>
          <w:szCs w:val="24"/>
        </w:rPr>
      </w:pPr>
      <w:r>
        <w:rPr>
          <w:rFonts w:cs="Times New Roman"/>
          <w:kern w:val="0"/>
          <w:szCs w:val="24"/>
        </w:rPr>
        <w:t xml:space="preserve"> </w:t>
      </w:r>
      <w:r>
        <w:rPr>
          <w:rFonts w:cs="Times New Roman"/>
          <w:kern w:val="0"/>
          <w:szCs w:val="24"/>
        </w:rPr>
        <w:tab/>
      </w:r>
      <w:r w:rsidR="00B15811">
        <w:rPr>
          <w:rFonts w:cs="Times New Roman"/>
          <w:kern w:val="0"/>
          <w:szCs w:val="24"/>
        </w:rPr>
        <w:t>PSYCHOSEXUAL EVALUATIONS</w:t>
      </w:r>
    </w:p>
    <w:p w14:paraId="08ED1EF6" w14:textId="0BC97AE4" w:rsidR="00B15811" w:rsidRDefault="00B15811" w:rsidP="00B15811">
      <w:pPr>
        <w:ind w:left="360"/>
      </w:pPr>
    </w:p>
    <w:p w14:paraId="4B7C4728" w14:textId="216ACDBE" w:rsidR="00B15811" w:rsidRDefault="00B15811" w:rsidP="00B15811">
      <w:pPr>
        <w:ind w:left="720"/>
      </w:pPr>
      <w:r>
        <w:t>Pursuant to 46-18-111,1(b), the Office of Court Administrator, through the district court operations budget, directly pays the costs associated with the required psychosexual evaluation if the party is indigent and unable to pay the cost. Evaluation costs are capped at $</w:t>
      </w:r>
      <w:r w:rsidR="00C83D4D">
        <w:t>1,500</w:t>
      </w:r>
      <w:r>
        <w:t xml:space="preserve"> plus necessary travel expenses at the state rate. </w:t>
      </w:r>
    </w:p>
    <w:p w14:paraId="28AAE634" w14:textId="77777777" w:rsidR="00B15811" w:rsidRDefault="00B15811" w:rsidP="00B15811">
      <w:pPr>
        <w:pStyle w:val="Heading1"/>
        <w:numPr>
          <w:ilvl w:val="0"/>
          <w:numId w:val="0"/>
        </w:numPr>
        <w:rPr>
          <w:caps/>
        </w:rPr>
      </w:pPr>
    </w:p>
    <w:p w14:paraId="227878A8" w14:textId="209132B8" w:rsidR="00245904" w:rsidRDefault="00B15811" w:rsidP="00B15811">
      <w:pPr>
        <w:pStyle w:val="Heading1"/>
        <w:numPr>
          <w:ilvl w:val="0"/>
          <w:numId w:val="7"/>
        </w:numPr>
        <w:rPr>
          <w:caps/>
        </w:rPr>
      </w:pPr>
      <w:r>
        <w:rPr>
          <w:caps/>
        </w:rPr>
        <w:t xml:space="preserve">     </w:t>
      </w:r>
      <w:r w:rsidR="00245904">
        <w:rPr>
          <w:caps/>
        </w:rPr>
        <w:t>Reimbursement Payments</w:t>
      </w:r>
    </w:p>
    <w:p w14:paraId="02B9894C" w14:textId="77777777" w:rsidR="00245904" w:rsidRDefault="00245904">
      <w:pPr>
        <w:autoSpaceDE w:val="0"/>
        <w:autoSpaceDN w:val="0"/>
        <w:adjustRightInd w:val="0"/>
        <w:rPr>
          <w:rFonts w:cs="Arial"/>
          <w:caps/>
          <w:sz w:val="22"/>
          <w:szCs w:val="22"/>
        </w:rPr>
      </w:pPr>
    </w:p>
    <w:p w14:paraId="22D4C7EE" w14:textId="0B959294" w:rsidR="00245904" w:rsidRPr="00D9539C" w:rsidRDefault="00245904">
      <w:pPr>
        <w:autoSpaceDE w:val="0"/>
        <w:autoSpaceDN w:val="0"/>
        <w:adjustRightInd w:val="0"/>
        <w:ind w:left="540"/>
        <w:rPr>
          <w:rFonts w:cs="Arial"/>
          <w:szCs w:val="22"/>
        </w:rPr>
      </w:pPr>
      <w:r w:rsidRPr="00D9539C">
        <w:rPr>
          <w:rFonts w:cs="Arial"/>
          <w:szCs w:val="22"/>
        </w:rPr>
        <w:t xml:space="preserve">Pursuant to 3-5-901, MCA, the </w:t>
      </w:r>
      <w:r w:rsidRPr="00D9539C">
        <w:t>Office of the Court Administrator</w:t>
      </w:r>
      <w:r w:rsidRPr="00D9539C">
        <w:rPr>
          <w:rFonts w:cs="Arial"/>
          <w:szCs w:val="22"/>
        </w:rPr>
        <w:t xml:space="preserve">, through the district court operations budget, shall reimburse counties for juror fees and related necessary expenses, allowable under this policy. </w:t>
      </w:r>
    </w:p>
    <w:p w14:paraId="5806CC74" w14:textId="77777777" w:rsidR="00245904" w:rsidRPr="00D9539C" w:rsidRDefault="00245904">
      <w:pPr>
        <w:autoSpaceDE w:val="0"/>
        <w:autoSpaceDN w:val="0"/>
        <w:adjustRightInd w:val="0"/>
        <w:ind w:left="540"/>
        <w:rPr>
          <w:rFonts w:cs="Arial"/>
          <w:szCs w:val="22"/>
          <w:u w:val="single"/>
        </w:rPr>
      </w:pPr>
    </w:p>
    <w:p w14:paraId="1D8995F0" w14:textId="77777777" w:rsidR="00245904" w:rsidRDefault="00245904">
      <w:pPr>
        <w:autoSpaceDE w:val="0"/>
        <w:autoSpaceDN w:val="0"/>
        <w:adjustRightInd w:val="0"/>
        <w:rPr>
          <w:rFonts w:cs="Arial"/>
          <w:sz w:val="22"/>
          <w:szCs w:val="22"/>
        </w:rPr>
      </w:pPr>
    </w:p>
    <w:p w14:paraId="4249DFD2" w14:textId="77777777" w:rsidR="00245904" w:rsidRDefault="00245904">
      <w:pPr>
        <w:pStyle w:val="Heading1"/>
        <w:numPr>
          <w:ilvl w:val="0"/>
          <w:numId w:val="7"/>
        </w:numPr>
        <w:ind w:left="540" w:hanging="540"/>
        <w:rPr>
          <w:caps/>
        </w:rPr>
      </w:pPr>
      <w:r>
        <w:rPr>
          <w:caps/>
        </w:rPr>
        <w:t xml:space="preserve"> </w:t>
      </w:r>
      <w:r>
        <w:rPr>
          <w:caps/>
        </w:rPr>
        <w:tab/>
      </w:r>
      <w:r>
        <w:rPr>
          <w:caps/>
        </w:rPr>
        <w:tab/>
        <w:t>Payment and Procedures</w:t>
      </w:r>
    </w:p>
    <w:p w14:paraId="271C47A5" w14:textId="77777777" w:rsidR="00245904" w:rsidRDefault="00245904">
      <w:pPr>
        <w:autoSpaceDE w:val="0"/>
        <w:autoSpaceDN w:val="0"/>
        <w:adjustRightInd w:val="0"/>
        <w:rPr>
          <w:rFonts w:cs="Arial"/>
        </w:rPr>
      </w:pPr>
    </w:p>
    <w:p w14:paraId="02F53BF1" w14:textId="77777777" w:rsidR="00245904" w:rsidRDefault="00245904">
      <w:pPr>
        <w:numPr>
          <w:ilvl w:val="2"/>
          <w:numId w:val="7"/>
        </w:numPr>
        <w:autoSpaceDE w:val="0"/>
        <w:autoSpaceDN w:val="0"/>
        <w:adjustRightInd w:val="0"/>
      </w:pPr>
      <w:r>
        <w:rPr>
          <w:rFonts w:cs="Arial"/>
        </w:rPr>
        <w:t xml:space="preserve">The Office of the Court Administrator will reimburse valid Judicial Branch expenditures within 30 days of receipt of an approved claim from a clerk of district court.   Payment may be delayed if the claims are returned for clarifications or corrections; and </w:t>
      </w:r>
    </w:p>
    <w:p w14:paraId="15094C78" w14:textId="77777777" w:rsidR="00245904" w:rsidRDefault="00245904">
      <w:pPr>
        <w:autoSpaceDE w:val="0"/>
        <w:autoSpaceDN w:val="0"/>
        <w:adjustRightInd w:val="0"/>
        <w:ind w:left="1440"/>
      </w:pPr>
    </w:p>
    <w:p w14:paraId="20C748C0" w14:textId="77777777" w:rsidR="00245904" w:rsidRDefault="00245904">
      <w:pPr>
        <w:numPr>
          <w:ilvl w:val="2"/>
          <w:numId w:val="7"/>
        </w:numPr>
        <w:autoSpaceDE w:val="0"/>
        <w:autoSpaceDN w:val="0"/>
        <w:adjustRightInd w:val="0"/>
      </w:pPr>
      <w:r>
        <w:t>Claims for valid Judicial Branch expenditures must be submitted using the standard payment form provided by the Office of the Court Administrator.</w:t>
      </w:r>
    </w:p>
    <w:p w14:paraId="183EBE3A" w14:textId="77777777" w:rsidR="00245904" w:rsidRDefault="00245904">
      <w:pPr>
        <w:autoSpaceDE w:val="0"/>
        <w:autoSpaceDN w:val="0"/>
        <w:adjustRightInd w:val="0"/>
      </w:pPr>
    </w:p>
    <w:p w14:paraId="3A146DB2" w14:textId="77777777" w:rsidR="00245904" w:rsidRDefault="00245904">
      <w:pPr>
        <w:autoSpaceDE w:val="0"/>
        <w:autoSpaceDN w:val="0"/>
        <w:adjustRightInd w:val="0"/>
      </w:pPr>
    </w:p>
    <w:p w14:paraId="3CC1091A" w14:textId="77777777" w:rsidR="00245904" w:rsidRDefault="00245904">
      <w:pPr>
        <w:pStyle w:val="Heading1"/>
        <w:numPr>
          <w:ilvl w:val="0"/>
          <w:numId w:val="7"/>
        </w:numPr>
        <w:rPr>
          <w:caps/>
        </w:rPr>
      </w:pPr>
      <w:r>
        <w:rPr>
          <w:caps/>
        </w:rPr>
        <w:t xml:space="preserve"> </w:t>
      </w:r>
      <w:r>
        <w:rPr>
          <w:caps/>
        </w:rPr>
        <w:tab/>
        <w:t>Closing</w:t>
      </w:r>
    </w:p>
    <w:p w14:paraId="5486F034" w14:textId="77777777" w:rsidR="00245904" w:rsidRDefault="00245904"/>
    <w:p w14:paraId="57B9D8D9" w14:textId="77777777" w:rsidR="00245904" w:rsidRDefault="00245904">
      <w:pPr>
        <w:pStyle w:val="Footer"/>
        <w:tabs>
          <w:tab w:val="clear" w:pos="4320"/>
          <w:tab w:val="clear" w:pos="8640"/>
        </w:tabs>
        <w:rPr>
          <w:rFonts w:cs="Arial"/>
        </w:rPr>
      </w:pPr>
      <w:r>
        <w:rPr>
          <w:rFonts w:cs="Arial"/>
        </w:rPr>
        <w:t>Questions about this policy should be directed to Office of the Court Administrator at the following address:</w:t>
      </w:r>
    </w:p>
    <w:p w14:paraId="0FC0F47F" w14:textId="77777777" w:rsidR="00245904" w:rsidRDefault="00245904">
      <w:pPr>
        <w:pStyle w:val="Footer"/>
        <w:tabs>
          <w:tab w:val="clear" w:pos="4320"/>
          <w:tab w:val="clear" w:pos="8640"/>
        </w:tabs>
        <w:rPr>
          <w:rFonts w:cs="Arial"/>
        </w:rPr>
      </w:pPr>
    </w:p>
    <w:p w14:paraId="787062AE" w14:textId="77777777" w:rsidR="00245904" w:rsidRDefault="00245904">
      <w:pPr>
        <w:rPr>
          <w:rFonts w:cs="Arial"/>
          <w:noProof/>
        </w:rPr>
      </w:pPr>
      <w:r>
        <w:rPr>
          <w:rFonts w:cs="Arial"/>
          <w:noProof/>
        </w:rPr>
        <w:t>Montana Supreme Court</w:t>
      </w:r>
    </w:p>
    <w:p w14:paraId="0A86B669" w14:textId="77777777" w:rsidR="00245904" w:rsidRDefault="00245904">
      <w:pPr>
        <w:rPr>
          <w:rFonts w:cs="Arial"/>
          <w:noProof/>
        </w:rPr>
      </w:pPr>
      <w:r>
        <w:rPr>
          <w:rFonts w:cs="Arial"/>
          <w:noProof/>
        </w:rPr>
        <w:t>Office of the Court Administrator</w:t>
      </w:r>
    </w:p>
    <w:p w14:paraId="6D107DBC" w14:textId="5822BE83" w:rsidR="00245904" w:rsidRDefault="00245904">
      <w:pPr>
        <w:rPr>
          <w:rFonts w:cs="Arial"/>
          <w:noProof/>
        </w:rPr>
      </w:pPr>
      <w:r>
        <w:rPr>
          <w:rFonts w:cs="Arial"/>
          <w:noProof/>
        </w:rPr>
        <w:t xml:space="preserve">Room 315, </w:t>
      </w:r>
      <w:r w:rsidR="00D13F66">
        <w:rPr>
          <w:rFonts w:cs="Arial"/>
          <w:noProof/>
        </w:rPr>
        <w:t>Mazurek</w:t>
      </w:r>
      <w:r>
        <w:rPr>
          <w:rFonts w:cs="Arial"/>
          <w:noProof/>
        </w:rPr>
        <w:t xml:space="preserve"> Building</w:t>
      </w:r>
    </w:p>
    <w:p w14:paraId="2CB479DA" w14:textId="77777777" w:rsidR="00245904" w:rsidRDefault="00245904">
      <w:pPr>
        <w:rPr>
          <w:rFonts w:cs="Arial"/>
          <w:noProof/>
        </w:rPr>
      </w:pPr>
      <w:r>
        <w:rPr>
          <w:rFonts w:cs="Arial"/>
          <w:noProof/>
        </w:rPr>
        <w:t>215 North Sanders</w:t>
      </w:r>
    </w:p>
    <w:p w14:paraId="22B3710C" w14:textId="77777777" w:rsidR="00245904" w:rsidRDefault="00245904">
      <w:pPr>
        <w:rPr>
          <w:rFonts w:cs="Arial"/>
          <w:noProof/>
        </w:rPr>
      </w:pPr>
      <w:r>
        <w:rPr>
          <w:rFonts w:cs="Arial"/>
          <w:noProof/>
        </w:rPr>
        <w:t>P.O. Box 203002</w:t>
      </w:r>
    </w:p>
    <w:p w14:paraId="59048C76" w14:textId="77777777" w:rsidR="00245904" w:rsidRDefault="00245904">
      <w:pPr>
        <w:rPr>
          <w:rFonts w:cs="Arial"/>
          <w:noProof/>
        </w:rPr>
      </w:pPr>
      <w:r>
        <w:rPr>
          <w:rFonts w:cs="Arial"/>
          <w:noProof/>
        </w:rPr>
        <w:t>Helena, Montana 59620-3002</w:t>
      </w:r>
    </w:p>
    <w:p w14:paraId="1E8D6010" w14:textId="77777777" w:rsidR="00245904" w:rsidRDefault="00245904">
      <w:pPr>
        <w:rPr>
          <w:rFonts w:cs="Arial"/>
          <w:noProof/>
        </w:rPr>
      </w:pPr>
      <w:r>
        <w:rPr>
          <w:rFonts w:cs="Arial"/>
          <w:noProof/>
        </w:rPr>
        <w:t>Phone:  (406) 444-2621</w:t>
      </w:r>
    </w:p>
    <w:p w14:paraId="30AB0D72" w14:textId="77777777" w:rsidR="00245904" w:rsidRDefault="00245904">
      <w:pPr>
        <w:autoSpaceDE w:val="0"/>
        <w:autoSpaceDN w:val="0"/>
        <w:adjustRightInd w:val="0"/>
      </w:pPr>
    </w:p>
    <w:sectPr w:rsidR="00245904">
      <w:footerReference w:type="even" r:id="rId7"/>
      <w:footerReference w:type="default" r:id="rId8"/>
      <w:pgSz w:w="12240" w:h="15840"/>
      <w:pgMar w:top="115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DE871" w14:textId="77777777" w:rsidR="00F62C19" w:rsidRDefault="00F62C19">
      <w:r>
        <w:separator/>
      </w:r>
    </w:p>
  </w:endnote>
  <w:endnote w:type="continuationSeparator" w:id="0">
    <w:p w14:paraId="416EC534" w14:textId="77777777" w:rsidR="00F62C19" w:rsidRDefault="00F6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BAA3" w14:textId="77777777" w:rsidR="00751F84" w:rsidRDefault="00751F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0ADADB" w14:textId="77777777" w:rsidR="00751F84" w:rsidRDefault="00751F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3C3D" w14:textId="7AE1CDD0" w:rsidR="00751F84" w:rsidRDefault="00751F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34E8">
      <w:rPr>
        <w:rStyle w:val="PageNumber"/>
        <w:noProof/>
      </w:rPr>
      <w:t>1</w:t>
    </w:r>
    <w:r>
      <w:rPr>
        <w:rStyle w:val="PageNumber"/>
      </w:rPr>
      <w:fldChar w:fldCharType="end"/>
    </w:r>
  </w:p>
  <w:p w14:paraId="5AA7EDBD" w14:textId="77777777" w:rsidR="00751F84" w:rsidRDefault="00751F84">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8907A" w14:textId="77777777" w:rsidR="00F62C19" w:rsidRDefault="00F62C19">
      <w:r>
        <w:separator/>
      </w:r>
    </w:p>
  </w:footnote>
  <w:footnote w:type="continuationSeparator" w:id="0">
    <w:p w14:paraId="47F00EE8" w14:textId="77777777" w:rsidR="00F62C19" w:rsidRDefault="00F62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46D"/>
    <w:multiLevelType w:val="hybridMultilevel"/>
    <w:tmpl w:val="2C32F696"/>
    <w:lvl w:ilvl="0" w:tplc="157C82CC">
      <w:start w:val="6"/>
      <w:numFmt w:val="decimal"/>
      <w:lvlText w:val="%1.0"/>
      <w:lvlJc w:val="left"/>
      <w:pPr>
        <w:tabs>
          <w:tab w:val="num" w:pos="360"/>
        </w:tabs>
        <w:ind w:left="360" w:hanging="360"/>
      </w:pPr>
      <w:rPr>
        <w:rFonts w:hint="default"/>
        <w:b w:val="0"/>
        <w:i w:val="0"/>
        <w:sz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2D595A4C"/>
    <w:multiLevelType w:val="multilevel"/>
    <w:tmpl w:val="8A22B5A8"/>
    <w:lvl w:ilvl="0">
      <w:start w:val="1"/>
      <w:numFmt w:val="decimal"/>
      <w:pStyle w:val="Heading1"/>
      <w:lvlText w:val="%1.0"/>
      <w:lvlJc w:val="left"/>
      <w:pPr>
        <w:tabs>
          <w:tab w:val="num" w:pos="360"/>
        </w:tabs>
        <w:ind w:left="360" w:hanging="360"/>
      </w:pPr>
      <w:rPr>
        <w:rFonts w:hint="default"/>
        <w:b w:val="0"/>
        <w:i w:val="0"/>
      </w:rPr>
    </w:lvl>
    <w:lvl w:ilvl="1">
      <w:start w:val="1"/>
      <w:numFmt w:val="decimal"/>
      <w:pStyle w:val="Heading2"/>
      <w:lvlText w:val="%1.%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 w15:restartNumberingAfterBreak="0">
    <w:nsid w:val="3DB4611C"/>
    <w:multiLevelType w:val="multilevel"/>
    <w:tmpl w:val="78F027F0"/>
    <w:lvl w:ilvl="0">
      <w:start w:val="7"/>
      <w:numFmt w:val="decimal"/>
      <w:lvlText w:val="%1.2"/>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2%1..%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403C7397"/>
    <w:multiLevelType w:val="multilevel"/>
    <w:tmpl w:val="7FE6068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2311CF5"/>
    <w:multiLevelType w:val="multilevel"/>
    <w:tmpl w:val="52BA1628"/>
    <w:lvl w:ilvl="0">
      <w:start w:val="7"/>
      <w:numFmt w:val="decimal"/>
      <w:lvlText w:val="%1.1"/>
      <w:lvlJc w:val="left"/>
      <w:pPr>
        <w:tabs>
          <w:tab w:val="num" w:pos="900"/>
        </w:tabs>
        <w:ind w:left="900" w:hanging="360"/>
      </w:pPr>
      <w:rPr>
        <w:rFonts w:ascii="Arial" w:hAnsi="Arial" w:hint="default"/>
        <w:sz w:val="24"/>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220"/>
        </w:tabs>
        <w:ind w:left="5220" w:hanging="1080"/>
      </w:pPr>
      <w:rPr>
        <w:rFonts w:hint="default"/>
      </w:rPr>
    </w:lvl>
    <w:lvl w:ilvl="6">
      <w:start w:val="1"/>
      <w:numFmt w:val="decimal"/>
      <w:lvlText w:val="%2%1..%3.%4.%5.%6.%7"/>
      <w:lvlJc w:val="left"/>
      <w:pPr>
        <w:tabs>
          <w:tab w:val="num" w:pos="6300"/>
        </w:tabs>
        <w:ind w:left="6300" w:hanging="1440"/>
      </w:pPr>
      <w:rPr>
        <w:rFonts w:hint="default"/>
      </w:rPr>
    </w:lvl>
    <w:lvl w:ilvl="7">
      <w:start w:val="1"/>
      <w:numFmt w:val="decimal"/>
      <w:lvlText w:val="%1.%2.%3.%4.%5.%6.%7.%8"/>
      <w:lvlJc w:val="left"/>
      <w:pPr>
        <w:tabs>
          <w:tab w:val="num" w:pos="7020"/>
        </w:tabs>
        <w:ind w:left="7020" w:hanging="1440"/>
      </w:pPr>
      <w:rPr>
        <w:rFonts w:hint="default"/>
      </w:rPr>
    </w:lvl>
    <w:lvl w:ilvl="8">
      <w:start w:val="1"/>
      <w:numFmt w:val="decimal"/>
      <w:lvlText w:val="%1.%2.%3.%4.%5.%6.%7.%8.%9"/>
      <w:lvlJc w:val="left"/>
      <w:pPr>
        <w:tabs>
          <w:tab w:val="num" w:pos="8100"/>
        </w:tabs>
        <w:ind w:left="8100" w:hanging="1800"/>
      </w:pPr>
      <w:rPr>
        <w:rFonts w:hint="default"/>
      </w:rPr>
    </w:lvl>
  </w:abstractNum>
  <w:abstractNum w:abstractNumId="5" w15:restartNumberingAfterBreak="0">
    <w:nsid w:val="503128D5"/>
    <w:multiLevelType w:val="multilevel"/>
    <w:tmpl w:val="5EF43B44"/>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1E6187C"/>
    <w:multiLevelType w:val="multilevel"/>
    <w:tmpl w:val="133AFAB6"/>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320035614">
    <w:abstractNumId w:val="1"/>
  </w:num>
  <w:num w:numId="2" w16cid:durableId="623583059">
    <w:abstractNumId w:val="4"/>
  </w:num>
  <w:num w:numId="3" w16cid:durableId="1084567572">
    <w:abstractNumId w:val="0"/>
  </w:num>
  <w:num w:numId="4" w16cid:durableId="559705543">
    <w:abstractNumId w:val="2"/>
  </w:num>
  <w:num w:numId="5" w16cid:durableId="12940179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900476">
    <w:abstractNumId w:val="3"/>
  </w:num>
  <w:num w:numId="7" w16cid:durableId="61219649">
    <w:abstractNumId w:val="6"/>
  </w:num>
  <w:num w:numId="8" w16cid:durableId="874391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EA"/>
    <w:rsid w:val="00245904"/>
    <w:rsid w:val="00274551"/>
    <w:rsid w:val="002F0EF1"/>
    <w:rsid w:val="00313593"/>
    <w:rsid w:val="00397B7C"/>
    <w:rsid w:val="005061ED"/>
    <w:rsid w:val="0053161E"/>
    <w:rsid w:val="006934E8"/>
    <w:rsid w:val="00695664"/>
    <w:rsid w:val="00751F84"/>
    <w:rsid w:val="00764FD1"/>
    <w:rsid w:val="00813983"/>
    <w:rsid w:val="008B0274"/>
    <w:rsid w:val="009542EA"/>
    <w:rsid w:val="00B15811"/>
    <w:rsid w:val="00B94A86"/>
    <w:rsid w:val="00C83D4D"/>
    <w:rsid w:val="00D13F66"/>
    <w:rsid w:val="00D9539C"/>
    <w:rsid w:val="00F6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FC2EF"/>
  <w15:chartTrackingRefBased/>
  <w15:docId w15:val="{389A605C-913A-444C-9314-B91F49C8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numPr>
        <w:numId w:val="1"/>
      </w:numPr>
      <w:outlineLvl w:val="0"/>
    </w:pPr>
    <w:rPr>
      <w:rFonts w:cs="Arial"/>
      <w:b/>
      <w:bCs/>
      <w:kern w:val="32"/>
      <w:szCs w:val="32"/>
    </w:rPr>
  </w:style>
  <w:style w:type="paragraph" w:styleId="Heading2">
    <w:name w:val="heading 2"/>
    <w:basedOn w:val="Normal"/>
    <w:next w:val="Normal"/>
    <w:qFormat/>
    <w:pPr>
      <w:keepNext/>
      <w:numPr>
        <w:ilvl w:val="1"/>
        <w:numId w:val="1"/>
      </w:numPr>
      <w:outlineLvl w:val="1"/>
    </w:pPr>
    <w:rPr>
      <w:rFonts w:cs="Arial"/>
      <w:bCs/>
      <w:iCs/>
      <w:szCs w:val="28"/>
    </w:rPr>
  </w:style>
  <w:style w:type="paragraph" w:styleId="Heading3">
    <w:name w:val="heading 3"/>
    <w:basedOn w:val="Normal"/>
    <w:next w:val="Normal"/>
    <w:qFormat/>
    <w:pPr>
      <w:keepNext/>
      <w:numPr>
        <w:ilvl w:val="2"/>
        <w:numId w:val="1"/>
      </w:numPr>
      <w:spacing w:before="240" w:after="60"/>
      <w:outlineLvl w:val="2"/>
    </w:pPr>
    <w:rPr>
      <w:rFonts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ind w:left="547"/>
    </w:pPr>
  </w:style>
  <w:style w:type="paragraph" w:customStyle="1" w:styleId="HeadingTitle">
    <w:name w:val="HeadingTitle"/>
    <w:basedOn w:val="Normal"/>
    <w:rPr>
      <w:b/>
      <w:sz w:val="3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540"/>
    </w:pPr>
    <w:rPr>
      <w:u w:val="single"/>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EmailStyle23">
    <w:name w:val="EmailStyle23"/>
    <w:semiHidden/>
    <w:rPr>
      <w:rFonts w:ascii="Arial" w:hAnsi="Arial" w:cs="Arial"/>
      <w:color w:val="000000"/>
      <w:sz w:val="20"/>
    </w:rPr>
  </w:style>
  <w:style w:type="character" w:styleId="CommentReference">
    <w:name w:val="annotation reference"/>
    <w:rsid w:val="00751F84"/>
    <w:rPr>
      <w:sz w:val="16"/>
      <w:szCs w:val="16"/>
    </w:rPr>
  </w:style>
  <w:style w:type="paragraph" w:styleId="CommentText">
    <w:name w:val="annotation text"/>
    <w:basedOn w:val="Normal"/>
    <w:link w:val="CommentTextChar"/>
    <w:rsid w:val="00751F84"/>
    <w:rPr>
      <w:sz w:val="20"/>
      <w:szCs w:val="20"/>
    </w:rPr>
  </w:style>
  <w:style w:type="character" w:customStyle="1" w:styleId="CommentTextChar">
    <w:name w:val="Comment Text Char"/>
    <w:link w:val="CommentText"/>
    <w:rsid w:val="00751F84"/>
    <w:rPr>
      <w:rFonts w:ascii="Arial" w:hAnsi="Arial"/>
    </w:rPr>
  </w:style>
  <w:style w:type="paragraph" w:styleId="CommentSubject">
    <w:name w:val="annotation subject"/>
    <w:basedOn w:val="CommentText"/>
    <w:next w:val="CommentText"/>
    <w:link w:val="CommentSubjectChar"/>
    <w:rsid w:val="00751F84"/>
    <w:rPr>
      <w:b/>
      <w:bCs/>
    </w:rPr>
  </w:style>
  <w:style w:type="character" w:customStyle="1" w:styleId="CommentSubjectChar">
    <w:name w:val="Comment Subject Char"/>
    <w:link w:val="CommentSubject"/>
    <w:rsid w:val="00751F84"/>
    <w:rPr>
      <w:rFonts w:ascii="Arial" w:hAnsi="Arial"/>
      <w:b/>
      <w:bCs/>
    </w:rPr>
  </w:style>
  <w:style w:type="paragraph" w:styleId="BalloonText">
    <w:name w:val="Balloon Text"/>
    <w:basedOn w:val="Normal"/>
    <w:link w:val="BalloonTextChar"/>
    <w:rsid w:val="00751F84"/>
    <w:rPr>
      <w:rFonts w:ascii="Segoe UI" w:hAnsi="Segoe UI" w:cs="Segoe UI"/>
      <w:sz w:val="18"/>
      <w:szCs w:val="18"/>
    </w:rPr>
  </w:style>
  <w:style w:type="character" w:customStyle="1" w:styleId="BalloonTextChar">
    <w:name w:val="Balloon Text Char"/>
    <w:link w:val="BalloonText"/>
    <w:rsid w:val="00751F84"/>
    <w:rPr>
      <w:rFonts w:ascii="Segoe UI" w:hAnsi="Segoe UI" w:cs="Segoe UI"/>
      <w:sz w:val="18"/>
      <w:szCs w:val="18"/>
    </w:rPr>
  </w:style>
  <w:style w:type="paragraph" w:styleId="Revision">
    <w:name w:val="Revision"/>
    <w:hidden/>
    <w:uiPriority w:val="99"/>
    <w:semiHidden/>
    <w:rsid w:val="0069566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Montana Judicial Branch</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Judicial Branch</dc:title>
  <dc:subject/>
  <dc:creator>User</dc:creator>
  <cp:keywords/>
  <dc:description/>
  <cp:lastModifiedBy>McLaughlin, Beth</cp:lastModifiedBy>
  <cp:revision>3</cp:revision>
  <cp:lastPrinted>2019-05-01T15:55:00Z</cp:lastPrinted>
  <dcterms:created xsi:type="dcterms:W3CDTF">2023-09-15T17:17:00Z</dcterms:created>
  <dcterms:modified xsi:type="dcterms:W3CDTF">2023-11-15T16:31:00Z</dcterms:modified>
</cp:coreProperties>
</file>