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D7" w:rsidRDefault="00AE29D7">
      <w:pPr>
        <w:pStyle w:val="Title"/>
      </w:pPr>
      <w:smartTag w:uri="urn:schemas-microsoft-com:office:smarttags" w:element="State">
        <w:smartTag w:uri="urn:schemas-microsoft-com:office:smarttags" w:element="place">
          <w:r>
            <w:t>Montana</w:t>
          </w:r>
        </w:smartTag>
      </w:smartTag>
      <w:r>
        <w:t xml:space="preserve"> Judicial Branch</w:t>
      </w:r>
    </w:p>
    <w:p w:rsidR="00AE29D7" w:rsidRDefault="00AE29D7">
      <w:pPr>
        <w:pStyle w:val="Subtitle"/>
        <w:rPr>
          <w:sz w:val="32"/>
        </w:rPr>
      </w:pPr>
      <w:r>
        <w:t>Policies &amp; Procedures</w:t>
      </w:r>
    </w:p>
    <w:p w:rsidR="00AE29D7" w:rsidRDefault="00AE29D7">
      <w:pPr>
        <w:rPr>
          <w:rFonts w:ascii="Arial" w:hAnsi="Arial"/>
          <w:b/>
          <w:sz w:val="32"/>
        </w:rPr>
      </w:pPr>
    </w:p>
    <w:p w:rsidR="00AE29D7" w:rsidRDefault="00AE29D7">
      <w:pPr>
        <w:rPr>
          <w:rFonts w:ascii="Arial" w:hAnsi="Arial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3870"/>
      </w:tblGrid>
      <w:tr w:rsidR="00AE29D7">
        <w:tc>
          <w:tcPr>
            <w:tcW w:w="5688" w:type="dxa"/>
          </w:tcPr>
          <w:p w:rsidR="00AE29D7" w:rsidRDefault="00AE29D7" w:rsidP="00FF166C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Subject:  Court Reporter</w:t>
            </w:r>
            <w:r w:rsidR="00FF166C">
              <w:rPr>
                <w:rFonts w:ascii="Arial" w:hAnsi="Arial"/>
                <w:b/>
                <w:sz w:val="24"/>
              </w:rPr>
              <w:t xml:space="preserve"> Court Record Archival</w:t>
            </w:r>
          </w:p>
        </w:tc>
        <w:tc>
          <w:tcPr>
            <w:tcW w:w="3870" w:type="dxa"/>
          </w:tcPr>
          <w:p w:rsidR="00AE29D7" w:rsidRDefault="00AE29D7" w:rsidP="00FF166C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Policy No.: </w:t>
            </w:r>
            <w:r w:rsidR="007A1F23">
              <w:rPr>
                <w:rFonts w:ascii="Arial" w:hAnsi="Arial"/>
                <w:b/>
                <w:sz w:val="24"/>
              </w:rPr>
              <w:t xml:space="preserve"> </w:t>
            </w:r>
            <w:r w:rsidR="000C53AC">
              <w:rPr>
                <w:rFonts w:ascii="Arial" w:hAnsi="Arial"/>
                <w:b/>
                <w:sz w:val="24"/>
              </w:rPr>
              <w:t>930</w:t>
            </w:r>
          </w:p>
        </w:tc>
      </w:tr>
      <w:tr w:rsidR="00AE29D7">
        <w:tc>
          <w:tcPr>
            <w:tcW w:w="5688" w:type="dxa"/>
          </w:tcPr>
          <w:p w:rsidR="00AE29D7" w:rsidRDefault="00AE29D7" w:rsidP="00994AC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Chapter: 3-5-</w:t>
            </w:r>
            <w:r w:rsidR="00994AC8">
              <w:rPr>
                <w:rFonts w:ascii="Arial" w:hAnsi="Arial"/>
                <w:b/>
                <w:sz w:val="24"/>
              </w:rPr>
              <w:t>603</w:t>
            </w:r>
            <w:r>
              <w:rPr>
                <w:rFonts w:ascii="Arial" w:hAnsi="Arial"/>
                <w:b/>
                <w:sz w:val="24"/>
              </w:rPr>
              <w:t xml:space="preserve"> MCA</w:t>
            </w:r>
          </w:p>
        </w:tc>
        <w:tc>
          <w:tcPr>
            <w:tcW w:w="3870" w:type="dxa"/>
          </w:tcPr>
          <w:p w:rsidR="00AE29D7" w:rsidRDefault="007A1F23" w:rsidP="00042A0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Pages: </w:t>
            </w:r>
            <w:r w:rsidR="00994AC8">
              <w:rPr>
                <w:rFonts w:ascii="Arial" w:hAnsi="Arial"/>
                <w:b/>
                <w:sz w:val="24"/>
              </w:rPr>
              <w:t>2</w:t>
            </w:r>
          </w:p>
        </w:tc>
      </w:tr>
      <w:tr w:rsidR="005F63E9">
        <w:tc>
          <w:tcPr>
            <w:tcW w:w="5688" w:type="dxa"/>
          </w:tcPr>
          <w:p w:rsidR="005F63E9" w:rsidRDefault="005F63E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Section:  Court Reporters</w:t>
            </w:r>
          </w:p>
        </w:tc>
        <w:tc>
          <w:tcPr>
            <w:tcW w:w="3870" w:type="dxa"/>
          </w:tcPr>
          <w:p w:rsidR="005F63E9" w:rsidRDefault="005F63E9" w:rsidP="00FF166C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Effective Date: </w:t>
            </w:r>
            <w:r w:rsidR="00BD37D4">
              <w:rPr>
                <w:rFonts w:ascii="Arial" w:hAnsi="Arial"/>
                <w:b/>
                <w:sz w:val="24"/>
              </w:rPr>
              <w:t>Jun</w:t>
            </w:r>
            <w:r w:rsidR="000C53AC">
              <w:rPr>
                <w:rFonts w:ascii="Arial" w:hAnsi="Arial"/>
                <w:b/>
                <w:sz w:val="24"/>
              </w:rPr>
              <w:t>e 6, 2017</w:t>
            </w:r>
          </w:p>
        </w:tc>
      </w:tr>
    </w:tbl>
    <w:p w:rsidR="00AE29D7" w:rsidRDefault="00AE29D7">
      <w:pPr>
        <w:rPr>
          <w:rFonts w:ascii="Arial" w:hAnsi="Arial"/>
          <w:b/>
          <w:sz w:val="32"/>
        </w:rPr>
      </w:pPr>
    </w:p>
    <w:p w:rsidR="00AE29D7" w:rsidRDefault="00AE29D7">
      <w:pPr>
        <w:pStyle w:val="Heading2"/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POLICY</w:t>
      </w:r>
    </w:p>
    <w:p w:rsidR="00AE29D7" w:rsidRDefault="00AE29D7"/>
    <w:p w:rsidR="00AE29D7" w:rsidRPr="00ED0FA4" w:rsidRDefault="00852EAF" w:rsidP="00D05E6C">
      <w:pPr>
        <w:pStyle w:val="BlockText"/>
        <w:ind w:left="720"/>
      </w:pPr>
      <w:r>
        <w:t xml:space="preserve">The policy </w:t>
      </w:r>
      <w:r w:rsidR="00897B02">
        <w:t xml:space="preserve">covers court reporters employed by the </w:t>
      </w:r>
      <w:r w:rsidR="00D211BE" w:rsidRPr="00ED0FA4">
        <w:t>Judicial Branch</w:t>
      </w:r>
      <w:r w:rsidR="000F5AE6">
        <w:t xml:space="preserve">, </w:t>
      </w:r>
      <w:r w:rsidR="00CD76B3">
        <w:t>pro tempore reporters</w:t>
      </w:r>
      <w:r w:rsidR="000F5AE6">
        <w:t>, and employees designated as responsible for court record archival</w:t>
      </w:r>
      <w:r w:rsidR="00897B02">
        <w:t xml:space="preserve">. </w:t>
      </w:r>
      <w:r w:rsidR="00D211BE">
        <w:t xml:space="preserve"> </w:t>
      </w:r>
    </w:p>
    <w:p w:rsidR="00AE29D7" w:rsidRPr="00ED0FA4" w:rsidRDefault="00AE29D7">
      <w:pPr>
        <w:pStyle w:val="BodyText"/>
      </w:pPr>
    </w:p>
    <w:p w:rsidR="00AE29D7" w:rsidRDefault="00AE29D7">
      <w:pPr>
        <w:pStyle w:val="Heading3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DEFINITIONS</w:t>
      </w:r>
    </w:p>
    <w:p w:rsidR="00FF166C" w:rsidRDefault="00FF166C" w:rsidP="00FF166C"/>
    <w:p w:rsidR="008F6C02" w:rsidRDefault="00FF166C" w:rsidP="008F6C02">
      <w:pPr>
        <w:pStyle w:val="Heading2"/>
        <w:numPr>
          <w:ilvl w:val="1"/>
          <w:numId w:val="2"/>
        </w:numPr>
        <w:tabs>
          <w:tab w:val="clear" w:pos="1440"/>
          <w:tab w:val="num" w:pos="1170"/>
        </w:tabs>
        <w:ind w:left="1170" w:hanging="450"/>
        <w:rPr>
          <w:rFonts w:ascii="Arial" w:hAnsi="Arial"/>
          <w:sz w:val="22"/>
        </w:rPr>
      </w:pPr>
      <w:r>
        <w:rPr>
          <w:rFonts w:ascii="Arial" w:hAnsi="Arial"/>
          <w:sz w:val="22"/>
        </w:rPr>
        <w:t>The court</w:t>
      </w:r>
      <w:r w:rsidR="008F6C02">
        <w:rPr>
          <w:rFonts w:ascii="Arial" w:hAnsi="Arial"/>
          <w:sz w:val="22"/>
        </w:rPr>
        <w:t>room</w:t>
      </w:r>
      <w:r>
        <w:rPr>
          <w:rFonts w:ascii="Arial" w:hAnsi="Arial"/>
          <w:sz w:val="22"/>
        </w:rPr>
        <w:t xml:space="preserve"> record </w:t>
      </w:r>
      <w:r w:rsidR="008F6C02">
        <w:rPr>
          <w:rFonts w:ascii="Arial" w:hAnsi="Arial"/>
          <w:sz w:val="22"/>
        </w:rPr>
        <w:t>con</w:t>
      </w:r>
      <w:r w:rsidR="005A6D83">
        <w:rPr>
          <w:rFonts w:ascii="Arial" w:hAnsi="Arial"/>
          <w:sz w:val="22"/>
        </w:rPr>
        <w:t>tains</w:t>
      </w:r>
      <w:r w:rsidR="008F6C02">
        <w:rPr>
          <w:rFonts w:ascii="Arial" w:hAnsi="Arial"/>
          <w:sz w:val="22"/>
        </w:rPr>
        <w:t xml:space="preserve"> the entirety of the proceedings held before a district court judge.  That record consists of the following:</w:t>
      </w:r>
    </w:p>
    <w:p w:rsidR="008F6C02" w:rsidRPr="008F6C02" w:rsidRDefault="008F6C02" w:rsidP="008F6C02"/>
    <w:p w:rsidR="008F6C02" w:rsidRDefault="0036099D" w:rsidP="0036099D">
      <w:pPr>
        <w:tabs>
          <w:tab w:val="left" w:pos="1800"/>
        </w:tabs>
        <w:ind w:left="1800" w:hanging="630"/>
        <w:rPr>
          <w:rFonts w:ascii="Arial" w:hAnsi="Arial"/>
          <w:sz w:val="22"/>
        </w:rPr>
      </w:pPr>
      <w:r>
        <w:rPr>
          <w:rFonts w:ascii="Arial" w:hAnsi="Arial"/>
          <w:sz w:val="22"/>
        </w:rPr>
        <w:t>2.1.1</w:t>
      </w:r>
      <w:r>
        <w:rPr>
          <w:rFonts w:ascii="Arial" w:hAnsi="Arial"/>
          <w:sz w:val="22"/>
        </w:rPr>
        <w:tab/>
        <w:t>F</w:t>
      </w:r>
      <w:r w:rsidR="008F6C02">
        <w:rPr>
          <w:rFonts w:ascii="Arial" w:hAnsi="Arial"/>
          <w:sz w:val="22"/>
        </w:rPr>
        <w:t>or stenographic court reporters</w:t>
      </w:r>
      <w:r w:rsidR="00994AC8">
        <w:rPr>
          <w:rFonts w:ascii="Arial" w:hAnsi="Arial"/>
          <w:sz w:val="22"/>
        </w:rPr>
        <w:t>, the courtroom record</w:t>
      </w:r>
      <w:r w:rsidR="008F6C02">
        <w:rPr>
          <w:rFonts w:ascii="Arial" w:hAnsi="Arial"/>
          <w:sz w:val="22"/>
        </w:rPr>
        <w:t xml:space="preserve"> includes all files produced by </w:t>
      </w:r>
      <w:r w:rsidR="00143BA8">
        <w:rPr>
          <w:rFonts w:ascii="Arial" w:hAnsi="Arial"/>
          <w:sz w:val="22"/>
        </w:rPr>
        <w:t xml:space="preserve">a stenographic machine and </w:t>
      </w:r>
      <w:r w:rsidR="008F6C02">
        <w:rPr>
          <w:rFonts w:ascii="Arial" w:hAnsi="Arial"/>
          <w:sz w:val="22"/>
        </w:rPr>
        <w:t>computer-aided transcription software, including</w:t>
      </w:r>
      <w:r w:rsidR="00143BA8">
        <w:rPr>
          <w:rFonts w:ascii="Arial" w:hAnsi="Arial"/>
          <w:sz w:val="22"/>
        </w:rPr>
        <w:t>,</w:t>
      </w:r>
      <w:r w:rsidR="008F6C02">
        <w:rPr>
          <w:rFonts w:ascii="Arial" w:hAnsi="Arial"/>
          <w:sz w:val="22"/>
        </w:rPr>
        <w:t xml:space="preserve"> but not limited to</w:t>
      </w:r>
      <w:r w:rsidR="00143BA8">
        <w:rPr>
          <w:rFonts w:ascii="Arial" w:hAnsi="Arial"/>
          <w:sz w:val="22"/>
        </w:rPr>
        <w:t>,</w:t>
      </w:r>
      <w:r w:rsidR="008F6C02">
        <w:rPr>
          <w:rFonts w:ascii="Arial" w:hAnsi="Arial"/>
          <w:sz w:val="22"/>
        </w:rPr>
        <w:t xml:space="preserve"> stenographic notes, an edited or unedited transcript file, job dictionary, format file</w:t>
      </w:r>
      <w:r w:rsidR="00B4691C">
        <w:rPr>
          <w:rFonts w:ascii="Arial" w:hAnsi="Arial"/>
          <w:sz w:val="22"/>
        </w:rPr>
        <w:t>s</w:t>
      </w:r>
      <w:r w:rsidR="008F6C02">
        <w:rPr>
          <w:rFonts w:ascii="Arial" w:hAnsi="Arial"/>
          <w:sz w:val="22"/>
        </w:rPr>
        <w:t>, and audio file</w:t>
      </w:r>
      <w:r w:rsidR="00CB1F66">
        <w:rPr>
          <w:rFonts w:ascii="Arial" w:hAnsi="Arial"/>
          <w:sz w:val="22"/>
        </w:rPr>
        <w:t>;</w:t>
      </w:r>
      <w:r>
        <w:rPr>
          <w:rFonts w:ascii="Arial" w:hAnsi="Arial"/>
          <w:sz w:val="22"/>
        </w:rPr>
        <w:t xml:space="preserve"> or</w:t>
      </w:r>
      <w:r w:rsidR="008F6C02">
        <w:rPr>
          <w:rFonts w:ascii="Arial" w:hAnsi="Arial"/>
          <w:sz w:val="22"/>
        </w:rPr>
        <w:t xml:space="preserve">  </w:t>
      </w:r>
    </w:p>
    <w:p w:rsidR="008F6C02" w:rsidRDefault="008F6C02" w:rsidP="0036099D">
      <w:pPr>
        <w:ind w:left="1170"/>
        <w:rPr>
          <w:rFonts w:ascii="Arial" w:hAnsi="Arial"/>
          <w:sz w:val="22"/>
        </w:rPr>
      </w:pPr>
    </w:p>
    <w:p w:rsidR="00FF2615" w:rsidRPr="00FF166C" w:rsidRDefault="0036099D" w:rsidP="0036099D">
      <w:pPr>
        <w:ind w:left="1800" w:hanging="630"/>
        <w:rPr>
          <w:rFonts w:ascii="Arial" w:hAnsi="Arial"/>
          <w:sz w:val="22"/>
        </w:rPr>
      </w:pPr>
      <w:r>
        <w:rPr>
          <w:rFonts w:ascii="Arial" w:hAnsi="Arial"/>
          <w:sz w:val="22"/>
        </w:rPr>
        <w:t>2.1.2</w:t>
      </w:r>
      <w:r>
        <w:rPr>
          <w:rFonts w:ascii="Arial" w:hAnsi="Arial"/>
          <w:sz w:val="22"/>
        </w:rPr>
        <w:tab/>
        <w:t>F</w:t>
      </w:r>
      <w:r w:rsidR="00FF166C">
        <w:rPr>
          <w:rFonts w:ascii="Arial" w:hAnsi="Arial"/>
          <w:sz w:val="22"/>
        </w:rPr>
        <w:t xml:space="preserve">or audio </w:t>
      </w:r>
      <w:r w:rsidR="006822BD">
        <w:rPr>
          <w:rFonts w:ascii="Arial" w:hAnsi="Arial"/>
          <w:sz w:val="22"/>
        </w:rPr>
        <w:t xml:space="preserve">court </w:t>
      </w:r>
      <w:r w:rsidR="003445A8">
        <w:rPr>
          <w:rFonts w:ascii="Arial" w:hAnsi="Arial"/>
          <w:sz w:val="22"/>
        </w:rPr>
        <w:t>r</w:t>
      </w:r>
      <w:r w:rsidR="00FF166C">
        <w:rPr>
          <w:rFonts w:ascii="Arial" w:hAnsi="Arial"/>
          <w:sz w:val="22"/>
        </w:rPr>
        <w:t>eporters</w:t>
      </w:r>
      <w:r w:rsidR="00994AC8">
        <w:rPr>
          <w:rFonts w:ascii="Arial" w:hAnsi="Arial"/>
          <w:sz w:val="22"/>
        </w:rPr>
        <w:t>, the courtroom record</w:t>
      </w:r>
      <w:r w:rsidR="00FF166C">
        <w:rPr>
          <w:rFonts w:ascii="Arial" w:hAnsi="Arial"/>
          <w:sz w:val="22"/>
        </w:rPr>
        <w:t xml:space="preserve"> includes an audio file, a log note file, and </w:t>
      </w:r>
      <w:r w:rsidR="008F6C02">
        <w:rPr>
          <w:rFonts w:ascii="Arial" w:hAnsi="Arial"/>
          <w:sz w:val="22"/>
        </w:rPr>
        <w:t>transcript file if</w:t>
      </w:r>
      <w:r w:rsidR="006822BD">
        <w:rPr>
          <w:rFonts w:ascii="Arial" w:hAnsi="Arial"/>
          <w:sz w:val="22"/>
        </w:rPr>
        <w:t xml:space="preserve"> </w:t>
      </w:r>
      <w:r w:rsidR="008F6C02">
        <w:rPr>
          <w:rFonts w:ascii="Arial" w:hAnsi="Arial"/>
          <w:sz w:val="22"/>
        </w:rPr>
        <w:t>one exists</w:t>
      </w:r>
      <w:r w:rsidR="00FF166C">
        <w:rPr>
          <w:rFonts w:ascii="Arial" w:hAnsi="Arial"/>
          <w:sz w:val="22"/>
        </w:rPr>
        <w:t xml:space="preserve">.  </w:t>
      </w:r>
    </w:p>
    <w:p w:rsidR="00FF166C" w:rsidRDefault="00FF166C" w:rsidP="008F6C02">
      <w:pPr>
        <w:pStyle w:val="Heading2"/>
        <w:numPr>
          <w:ilvl w:val="0"/>
          <w:numId w:val="0"/>
        </w:numPr>
        <w:tabs>
          <w:tab w:val="left" w:pos="1170"/>
        </w:tabs>
        <w:ind w:left="1260"/>
        <w:rPr>
          <w:rFonts w:ascii="Arial" w:hAnsi="Arial"/>
          <w:b/>
          <w:sz w:val="22"/>
        </w:rPr>
      </w:pPr>
    </w:p>
    <w:p w:rsidR="00E76A2F" w:rsidRPr="00E76A2F" w:rsidRDefault="00E76A2F" w:rsidP="00E76A2F">
      <w:pPr>
        <w:pStyle w:val="ListParagraph"/>
        <w:rPr>
          <w:rFonts w:ascii="Arial" w:hAnsi="Arial"/>
          <w:sz w:val="22"/>
        </w:rPr>
      </w:pPr>
    </w:p>
    <w:p w:rsidR="00AE29D7" w:rsidRDefault="00AE29D7">
      <w:pPr>
        <w:pStyle w:val="Heading2"/>
        <w:numPr>
          <w:ilvl w:val="0"/>
          <w:numId w:val="0"/>
        </w:numPr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6822BD">
        <w:rPr>
          <w:rFonts w:ascii="Arial" w:hAnsi="Arial"/>
          <w:b/>
        </w:rPr>
        <w:t>ARCHIVING</w:t>
      </w:r>
      <w:r w:rsidR="003445A8">
        <w:rPr>
          <w:rFonts w:ascii="Arial" w:hAnsi="Arial"/>
          <w:b/>
        </w:rPr>
        <w:t xml:space="preserve"> PROCEDURES</w:t>
      </w:r>
    </w:p>
    <w:p w:rsidR="00AE29D7" w:rsidRDefault="00AE29D7">
      <w:pPr>
        <w:rPr>
          <w:rFonts w:ascii="Arial" w:hAnsi="Arial"/>
          <w:sz w:val="22"/>
        </w:rPr>
      </w:pPr>
    </w:p>
    <w:p w:rsidR="0036099D" w:rsidRDefault="00B82E89" w:rsidP="0036099D">
      <w:pPr>
        <w:ind w:left="1170" w:hanging="450"/>
        <w:rPr>
          <w:rFonts w:ascii="Arial" w:hAnsi="Arial"/>
          <w:sz w:val="22"/>
        </w:rPr>
      </w:pPr>
      <w:r w:rsidRPr="0036099D">
        <w:rPr>
          <w:rFonts w:ascii="Arial" w:hAnsi="Arial" w:cs="Arial"/>
          <w:sz w:val="22"/>
          <w:szCs w:val="22"/>
        </w:rPr>
        <w:t>3.1</w:t>
      </w:r>
      <w:r w:rsidR="0036099D">
        <w:tab/>
      </w:r>
      <w:r w:rsidR="0036099D" w:rsidRPr="0036099D">
        <w:rPr>
          <w:rFonts w:ascii="Arial" w:hAnsi="Arial"/>
          <w:sz w:val="22"/>
        </w:rPr>
        <w:t>The courtroom record must be retained for a period of ten years, as delineated in 3-5-603, MCA.</w:t>
      </w:r>
      <w:r w:rsidR="00994AC8">
        <w:rPr>
          <w:rFonts w:ascii="Arial" w:hAnsi="Arial"/>
          <w:sz w:val="22"/>
        </w:rPr>
        <w:t xml:space="preserve"> The courtroom record shall be </w:t>
      </w:r>
      <w:r w:rsidR="00DD23CA">
        <w:rPr>
          <w:rFonts w:ascii="Arial" w:hAnsi="Arial"/>
          <w:sz w:val="22"/>
        </w:rPr>
        <w:t>stored</w:t>
      </w:r>
      <w:r w:rsidR="00994AC8">
        <w:rPr>
          <w:rFonts w:ascii="Arial" w:hAnsi="Arial"/>
          <w:sz w:val="22"/>
        </w:rPr>
        <w:t xml:space="preserve"> in the Court Reporter Repository and maintained by the Judicial Branch Information Technology department.</w:t>
      </w:r>
    </w:p>
    <w:p w:rsidR="0036099D" w:rsidRPr="0036099D" w:rsidRDefault="0036099D" w:rsidP="0036099D">
      <w:pPr>
        <w:ind w:left="1170" w:hanging="450"/>
        <w:rPr>
          <w:rFonts w:ascii="Arial" w:hAnsi="Arial"/>
          <w:sz w:val="22"/>
        </w:rPr>
      </w:pPr>
    </w:p>
    <w:p w:rsidR="006B0D5D" w:rsidRDefault="0036099D" w:rsidP="0036099D">
      <w:pPr>
        <w:pStyle w:val="BodyText"/>
        <w:ind w:left="1170" w:hanging="450"/>
      </w:pPr>
      <w:r>
        <w:t>3.2</w:t>
      </w:r>
      <w:r>
        <w:tab/>
      </w:r>
      <w:r w:rsidR="006B0D5D">
        <w:t>The court reporter has the duty to preserve the court</w:t>
      </w:r>
      <w:r w:rsidR="00994AC8">
        <w:t>room</w:t>
      </w:r>
      <w:r w:rsidR="00DD23CA">
        <w:t xml:space="preserve"> record</w:t>
      </w:r>
      <w:r w:rsidR="00994AC8" w:rsidRPr="00994AC8">
        <w:t xml:space="preserve"> </w:t>
      </w:r>
      <w:r w:rsidR="00994AC8">
        <w:t>pursuant to the Montana Code Annotated and Supreme Court policy</w:t>
      </w:r>
      <w:r w:rsidR="006B0D5D">
        <w:t xml:space="preserve"> </w:t>
      </w:r>
      <w:r w:rsidR="00994AC8">
        <w:t>by</w:t>
      </w:r>
      <w:r w:rsidR="006B0D5D">
        <w:t xml:space="preserve"> archiving</w:t>
      </w:r>
      <w:r w:rsidR="00994AC8">
        <w:t xml:space="preserve"> the courtroom record to the Court Reporter Repository</w:t>
      </w:r>
      <w:r w:rsidR="006B0D5D">
        <w:t>.</w:t>
      </w:r>
    </w:p>
    <w:p w:rsidR="006B0D5D" w:rsidRDefault="006B0D5D" w:rsidP="0036099D">
      <w:pPr>
        <w:pStyle w:val="BodyText"/>
        <w:ind w:left="1170" w:hanging="450"/>
      </w:pPr>
    </w:p>
    <w:p w:rsidR="00982F5F" w:rsidRDefault="006B0D5D" w:rsidP="0036099D">
      <w:pPr>
        <w:pStyle w:val="BodyText"/>
        <w:ind w:left="1170" w:hanging="450"/>
        <w:rPr>
          <w:rFonts w:cs="Arial"/>
          <w:szCs w:val="22"/>
        </w:rPr>
      </w:pPr>
      <w:r>
        <w:t>3.3</w:t>
      </w:r>
      <w:r>
        <w:tab/>
      </w:r>
      <w:r w:rsidR="00982F5F">
        <w:rPr>
          <w:rFonts w:cs="Arial"/>
          <w:szCs w:val="22"/>
        </w:rPr>
        <w:t>Court reporters will have upload-only access to the Court Reporter Repository</w:t>
      </w:r>
      <w:r>
        <w:rPr>
          <w:rFonts w:cs="Arial"/>
          <w:szCs w:val="22"/>
        </w:rPr>
        <w:t>.</w:t>
      </w:r>
      <w:r w:rsidR="00982F5F">
        <w:rPr>
          <w:rFonts w:cs="Arial"/>
          <w:szCs w:val="22"/>
        </w:rPr>
        <w:t xml:space="preserve"> </w:t>
      </w:r>
    </w:p>
    <w:p w:rsidR="00982F5F" w:rsidRDefault="00982F5F" w:rsidP="0036099D">
      <w:pPr>
        <w:pStyle w:val="BodyText"/>
        <w:ind w:left="1170" w:hanging="450"/>
        <w:rPr>
          <w:rFonts w:cs="Arial"/>
          <w:szCs w:val="22"/>
        </w:rPr>
      </w:pPr>
    </w:p>
    <w:p w:rsidR="00F374CD" w:rsidRDefault="00994AC8" w:rsidP="0036099D">
      <w:pPr>
        <w:pStyle w:val="BodyText"/>
        <w:ind w:left="1170" w:hanging="450"/>
      </w:pPr>
      <w:r>
        <w:rPr>
          <w:rFonts w:cs="Arial"/>
          <w:szCs w:val="22"/>
        </w:rPr>
        <w:t>3.4</w:t>
      </w:r>
      <w:r w:rsidR="00982F5F">
        <w:rPr>
          <w:rFonts w:cs="Arial"/>
          <w:szCs w:val="22"/>
        </w:rPr>
        <w:tab/>
      </w:r>
      <w:r w:rsidR="003445A8">
        <w:t xml:space="preserve">The court reporter </w:t>
      </w:r>
      <w:r w:rsidR="00B4691C">
        <w:t>shall</w:t>
      </w:r>
      <w:r w:rsidR="003445A8">
        <w:t xml:space="preserve"> upload the courtroom record to </w:t>
      </w:r>
      <w:r w:rsidR="00F374CD">
        <w:t>the Court Reporter Repository no later than the next business day or, in the case of illness or emergency, as soon as practicable thereafter.</w:t>
      </w:r>
      <w:r w:rsidR="00041EED">
        <w:t xml:space="preserve"> The Repository will contain only this initial upload of each day’s courtroom record; no updated edited files will be uploaded to the Repository.</w:t>
      </w:r>
    </w:p>
    <w:p w:rsidR="00F374CD" w:rsidRDefault="00F374CD" w:rsidP="0036099D">
      <w:pPr>
        <w:pStyle w:val="BodyText"/>
        <w:ind w:left="1170" w:hanging="450"/>
      </w:pPr>
    </w:p>
    <w:p w:rsidR="00536959" w:rsidRDefault="0036099D" w:rsidP="0036099D">
      <w:pPr>
        <w:pStyle w:val="BodyText"/>
        <w:ind w:left="1170" w:hanging="450"/>
      </w:pPr>
      <w:r>
        <w:t>3.</w:t>
      </w:r>
      <w:r w:rsidR="00994AC8">
        <w:t>5</w:t>
      </w:r>
      <w:r w:rsidR="00982F5F">
        <w:tab/>
      </w:r>
      <w:r w:rsidR="00536959">
        <w:t xml:space="preserve">Prior to uploading, the files comprising the courtroom record </w:t>
      </w:r>
      <w:r w:rsidR="008654A0">
        <w:t xml:space="preserve">as defined in Section 2.1 </w:t>
      </w:r>
      <w:r w:rsidR="00B4691C">
        <w:t>shall</w:t>
      </w:r>
      <w:r w:rsidR="00536959">
        <w:t xml:space="preserve"> be compressed into </w:t>
      </w:r>
      <w:r w:rsidR="005A6D83">
        <w:t>a</w:t>
      </w:r>
      <w:r w:rsidR="00536959">
        <w:t xml:space="preserve"> </w:t>
      </w:r>
      <w:r w:rsidR="00B4691C">
        <w:t xml:space="preserve">single </w:t>
      </w:r>
      <w:r w:rsidR="00536959">
        <w:t>.zip file containing all required files.</w:t>
      </w:r>
    </w:p>
    <w:p w:rsidR="00536959" w:rsidRDefault="00536959" w:rsidP="0036099D">
      <w:pPr>
        <w:pStyle w:val="BodyText"/>
        <w:ind w:left="1170" w:hanging="450"/>
      </w:pPr>
    </w:p>
    <w:p w:rsidR="00E76A2F" w:rsidRDefault="00536959" w:rsidP="0036099D">
      <w:pPr>
        <w:pStyle w:val="BodyText"/>
        <w:ind w:left="1170" w:hanging="450"/>
      </w:pPr>
      <w:r>
        <w:lastRenderedPageBreak/>
        <w:t>3.</w:t>
      </w:r>
      <w:r w:rsidR="00994AC8">
        <w:t>6</w:t>
      </w:r>
      <w:r w:rsidR="00982F5F">
        <w:tab/>
      </w:r>
      <w:r w:rsidR="00CB1F66">
        <w:t>Stenographic court reporters will retain in the courthouse the backup media from the stenographic machine.</w:t>
      </w:r>
      <w:r w:rsidR="004F502E">
        <w:t xml:space="preserve"> This media shall be</w:t>
      </w:r>
      <w:r w:rsidR="004F502E" w:rsidRPr="004F502E">
        <w:t xml:space="preserve"> </w:t>
      </w:r>
      <w:r w:rsidR="004F502E">
        <w:t xml:space="preserve">retained </w:t>
      </w:r>
      <w:r w:rsidR="004F502E" w:rsidRPr="004F502E">
        <w:t>for a period of ten years, as delineated in 3-5-603, MCA</w:t>
      </w:r>
      <w:r w:rsidR="00202827">
        <w:t>.</w:t>
      </w:r>
    </w:p>
    <w:p w:rsidR="00202827" w:rsidRDefault="00202827" w:rsidP="0036099D">
      <w:pPr>
        <w:pStyle w:val="BodyText"/>
        <w:ind w:left="1170" w:hanging="450"/>
      </w:pPr>
    </w:p>
    <w:p w:rsidR="00E76A2F" w:rsidRDefault="00994AC8" w:rsidP="0036099D">
      <w:pPr>
        <w:pStyle w:val="BodyText"/>
        <w:ind w:left="1170" w:hanging="450"/>
      </w:pPr>
      <w:r>
        <w:t>3.7</w:t>
      </w:r>
      <w:r w:rsidR="00982F5F">
        <w:tab/>
      </w:r>
      <w:r w:rsidR="00E76A2F">
        <w:t xml:space="preserve">For proceedings where the court record is </w:t>
      </w:r>
      <w:r w:rsidR="00774F5D">
        <w:t>audio recorded</w:t>
      </w:r>
      <w:r w:rsidR="00E76A2F">
        <w:t xml:space="preserve"> with</w:t>
      </w:r>
      <w:r w:rsidR="00774F5D">
        <w:t>out a court reporter present, a staff member in the district shall be designated to archive pursuant to this policy.</w:t>
      </w:r>
    </w:p>
    <w:p w:rsidR="00982F5F" w:rsidRDefault="00982F5F" w:rsidP="0036099D">
      <w:pPr>
        <w:pStyle w:val="BodyText"/>
        <w:ind w:left="1170" w:hanging="450"/>
      </w:pPr>
    </w:p>
    <w:p w:rsidR="00982F5F" w:rsidRDefault="00994AC8" w:rsidP="0036099D">
      <w:pPr>
        <w:pStyle w:val="BodyText"/>
        <w:ind w:left="1170" w:hanging="450"/>
      </w:pPr>
      <w:r>
        <w:t>3.8</w:t>
      </w:r>
      <w:r w:rsidR="00982F5F">
        <w:tab/>
        <w:t>Contract fill-in court reporters do not have archive access, but will archive as follows:</w:t>
      </w:r>
    </w:p>
    <w:p w:rsidR="00982F5F" w:rsidRDefault="00982F5F" w:rsidP="0036099D">
      <w:pPr>
        <w:pStyle w:val="BodyText"/>
        <w:ind w:left="1170" w:hanging="450"/>
      </w:pPr>
    </w:p>
    <w:p w:rsidR="00982F5F" w:rsidRDefault="00994AC8" w:rsidP="00982F5F">
      <w:pPr>
        <w:pStyle w:val="BodyText"/>
        <w:ind w:left="1890" w:hanging="720"/>
      </w:pPr>
      <w:r>
        <w:t>3.8</w:t>
      </w:r>
      <w:r w:rsidR="00982F5F">
        <w:t>.1</w:t>
      </w:r>
      <w:r w:rsidR="00982F5F">
        <w:tab/>
      </w:r>
      <w:r w:rsidR="00741D36">
        <w:t>A storage medium will be available at the conclusion of each court day upon which the court reporter will save a .zip file containing the courtroom record</w:t>
      </w:r>
      <w:r w:rsidR="008654A0">
        <w:t xml:space="preserve"> as defined in Section 2.1</w:t>
      </w:r>
      <w:r w:rsidR="00741D36">
        <w:t>.</w:t>
      </w:r>
      <w:r w:rsidR="00982F5F">
        <w:tab/>
      </w:r>
    </w:p>
    <w:p w:rsidR="00741D36" w:rsidRDefault="00741D36" w:rsidP="00982F5F">
      <w:pPr>
        <w:pStyle w:val="BodyText"/>
        <w:ind w:left="1890" w:hanging="720"/>
      </w:pPr>
    </w:p>
    <w:p w:rsidR="00741D36" w:rsidRDefault="00994AC8" w:rsidP="00982F5F">
      <w:pPr>
        <w:pStyle w:val="BodyText"/>
        <w:ind w:left="1890" w:hanging="720"/>
      </w:pPr>
      <w:r>
        <w:t>3.8</w:t>
      </w:r>
      <w:r w:rsidR="00741D36">
        <w:t>.2</w:t>
      </w:r>
      <w:r w:rsidR="00741D36">
        <w:tab/>
        <w:t>The employee court reporter assigned to that judge will upload the .zip file to the Court Reporter Repository the first business day upon his/her return. If the court reporter is on extended leave, then another member of the district court staff will be given access to the Repository to archive the files.</w:t>
      </w:r>
    </w:p>
    <w:p w:rsidR="009D0DB0" w:rsidRDefault="009D0DB0" w:rsidP="00982F5F">
      <w:pPr>
        <w:pStyle w:val="BodyText"/>
        <w:ind w:left="1890" w:hanging="720"/>
      </w:pPr>
    </w:p>
    <w:p w:rsidR="009D0DB0" w:rsidRDefault="009D0DB0" w:rsidP="009D0DB0">
      <w:pPr>
        <w:pStyle w:val="BodyText"/>
        <w:ind w:left="1170" w:hanging="450"/>
      </w:pPr>
      <w:r>
        <w:t>3.9</w:t>
      </w:r>
      <w:r>
        <w:tab/>
        <w:t>Stenographic court reporters shall at a minimum of twice annually upload a .zip file containing their personal dictionary.  Preference would be also uploading an RTF file of their personal dictionary.</w:t>
      </w:r>
    </w:p>
    <w:p w:rsidR="00D8709E" w:rsidRDefault="00D8709E" w:rsidP="0036099D">
      <w:pPr>
        <w:pStyle w:val="BodyText"/>
        <w:ind w:left="1170" w:hanging="450"/>
      </w:pPr>
    </w:p>
    <w:p w:rsidR="00774F5D" w:rsidRDefault="00202827" w:rsidP="004F502E">
      <w:pPr>
        <w:pStyle w:val="BodyText"/>
        <w:tabs>
          <w:tab w:val="left" w:pos="1260"/>
        </w:tabs>
        <w:ind w:left="1170" w:hanging="450"/>
      </w:pPr>
      <w:r>
        <w:t>3.</w:t>
      </w:r>
      <w:r w:rsidR="009D0DB0">
        <w:t>10</w:t>
      </w:r>
      <w:r>
        <w:tab/>
        <w:t>Court reporters who need access to archived files</w:t>
      </w:r>
      <w:r w:rsidR="00DD23CA">
        <w:t xml:space="preserve"> in the Court Reporter Repository</w:t>
      </w:r>
      <w:r>
        <w:t xml:space="preserve"> shall contact Judicial Branch Information Technology to request relevant files.</w:t>
      </w:r>
    </w:p>
    <w:p w:rsidR="008654A0" w:rsidRDefault="008654A0" w:rsidP="008654A0">
      <w:pPr>
        <w:pStyle w:val="BodyText"/>
        <w:tabs>
          <w:tab w:val="left" w:pos="1170"/>
          <w:tab w:val="left" w:pos="1260"/>
        </w:tabs>
        <w:ind w:left="1170" w:hanging="450"/>
      </w:pPr>
    </w:p>
    <w:p w:rsidR="008B760D" w:rsidRDefault="008B760D" w:rsidP="008B760D">
      <w:pPr>
        <w:pStyle w:val="BlockText"/>
        <w:tabs>
          <w:tab w:val="left" w:pos="6840"/>
        </w:tabs>
      </w:pPr>
    </w:p>
    <w:p w:rsidR="00D211BE" w:rsidRDefault="00C75E5A" w:rsidP="00202827">
      <w:pPr>
        <w:pStyle w:val="BodyText"/>
        <w:rPr>
          <w:rFonts w:cs="Arial"/>
          <w:b/>
          <w:bCs/>
          <w:sz w:val="24"/>
        </w:rPr>
      </w:pPr>
      <w:r>
        <w:rPr>
          <w:rFonts w:cs="Arial"/>
          <w:b/>
        </w:rPr>
        <w:t>4</w:t>
      </w:r>
      <w:r w:rsidR="004E43FC">
        <w:rPr>
          <w:rFonts w:cs="Arial"/>
          <w:b/>
        </w:rPr>
        <w:t xml:space="preserve">.0  </w:t>
      </w:r>
      <w:r w:rsidR="004E43FC">
        <w:rPr>
          <w:rFonts w:cs="Arial"/>
          <w:b/>
        </w:rPr>
        <w:tab/>
      </w:r>
      <w:r w:rsidR="00D211BE">
        <w:rPr>
          <w:rFonts w:cs="Arial"/>
          <w:b/>
          <w:bCs/>
          <w:sz w:val="24"/>
        </w:rPr>
        <w:t>CLOSING</w:t>
      </w:r>
    </w:p>
    <w:p w:rsidR="00D211BE" w:rsidRDefault="00D211BE" w:rsidP="00D211BE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</w:p>
    <w:p w:rsidR="00D211BE" w:rsidRDefault="00D211BE" w:rsidP="007A1F23">
      <w:pPr>
        <w:pStyle w:val="Footer"/>
        <w:tabs>
          <w:tab w:val="clear" w:pos="4320"/>
          <w:tab w:val="clear" w:pos="8640"/>
        </w:tabs>
        <w:ind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Questions about this policy should be directed to the OCA at the following address:</w:t>
      </w:r>
    </w:p>
    <w:p w:rsidR="00D05E6C" w:rsidRDefault="00D05E6C" w:rsidP="007A1F23">
      <w:pPr>
        <w:ind w:firstLine="720"/>
        <w:rPr>
          <w:rFonts w:ascii="Arial" w:hAnsi="Arial" w:cs="Arial"/>
          <w:noProof/>
          <w:sz w:val="22"/>
        </w:rPr>
      </w:pPr>
    </w:p>
    <w:p w:rsidR="00D211BE" w:rsidRDefault="00D211BE" w:rsidP="007A1F23">
      <w:pPr>
        <w:ind w:firstLine="720"/>
        <w:rPr>
          <w:rFonts w:ascii="Arial" w:hAnsi="Arial" w:cs="Arial"/>
          <w:noProof/>
          <w:sz w:val="22"/>
        </w:rPr>
      </w:pPr>
      <w:smartTag w:uri="urn:schemas-microsoft-com:office:smarttags" w:element="PersonName">
        <w:smartTag w:uri="urn:schemas-microsoft-com:office:smarttags" w:element="State">
          <w:smartTag w:uri="urn:schemas-microsoft-com:office:smarttags" w:element="place">
            <w:r>
              <w:rPr>
                <w:rFonts w:ascii="Arial" w:hAnsi="Arial" w:cs="Arial"/>
                <w:noProof/>
                <w:sz w:val="22"/>
              </w:rPr>
              <w:t>Montana</w:t>
            </w:r>
          </w:smartTag>
        </w:smartTag>
        <w:r>
          <w:rPr>
            <w:rFonts w:ascii="Arial" w:hAnsi="Arial" w:cs="Arial"/>
            <w:noProof/>
            <w:sz w:val="22"/>
          </w:rPr>
          <w:t xml:space="preserve"> Supreme Court</w:t>
        </w:r>
      </w:smartTag>
    </w:p>
    <w:p w:rsidR="00D211BE" w:rsidRDefault="00D211BE" w:rsidP="007A1F23">
      <w:pPr>
        <w:ind w:firstLine="7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Office of Court Administrator</w:t>
      </w:r>
    </w:p>
    <w:p w:rsidR="00D211BE" w:rsidRDefault="00D211BE" w:rsidP="007A1F23">
      <w:pPr>
        <w:ind w:firstLine="7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P.O. Box</w:t>
      </w:r>
      <w:r w:rsidR="00741D36">
        <w:rPr>
          <w:rFonts w:ascii="Arial" w:hAnsi="Arial" w:cs="Arial"/>
          <w:noProof/>
          <w:sz w:val="22"/>
        </w:rPr>
        <w:t xml:space="preserve"> 203005</w:t>
      </w:r>
    </w:p>
    <w:p w:rsidR="00D211BE" w:rsidRDefault="00741D36" w:rsidP="007A1F23">
      <w:pPr>
        <w:ind w:firstLine="7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Helena, Montana 59620-3005</w:t>
      </w:r>
    </w:p>
    <w:p w:rsidR="00733FD1" w:rsidRPr="00D211BE" w:rsidRDefault="00D211BE" w:rsidP="007A1F23">
      <w:pPr>
        <w:ind w:firstLine="7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Phone:  (406) 444-2621</w:t>
      </w:r>
    </w:p>
    <w:sectPr w:rsidR="00733FD1" w:rsidRPr="00D21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CD" w:rsidRDefault="003C78CD">
      <w:r>
        <w:separator/>
      </w:r>
    </w:p>
  </w:endnote>
  <w:endnote w:type="continuationSeparator" w:id="0">
    <w:p w:rsidR="003C78CD" w:rsidRDefault="003C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9F" w:rsidRDefault="00F8069F" w:rsidP="00180D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69F" w:rsidRDefault="00F806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9F" w:rsidRDefault="00F8069F" w:rsidP="00180D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024">
      <w:rPr>
        <w:rStyle w:val="PageNumber"/>
        <w:noProof/>
      </w:rPr>
      <w:t>2</w:t>
    </w:r>
    <w:r>
      <w:rPr>
        <w:rStyle w:val="PageNumber"/>
      </w:rPr>
      <w:fldChar w:fldCharType="end"/>
    </w:r>
  </w:p>
  <w:p w:rsidR="00F8069F" w:rsidRDefault="00F806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24" w:rsidRDefault="003940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CD" w:rsidRDefault="003C78CD">
      <w:r>
        <w:separator/>
      </w:r>
    </w:p>
  </w:footnote>
  <w:footnote w:type="continuationSeparator" w:id="0">
    <w:p w:rsidR="003C78CD" w:rsidRDefault="003C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9F" w:rsidRDefault="003C78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9F" w:rsidRDefault="00F8069F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9F" w:rsidRDefault="003C78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1.3pt;height:188.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531D"/>
    <w:multiLevelType w:val="multilevel"/>
    <w:tmpl w:val="ACF6DD22"/>
    <w:lvl w:ilvl="0">
      <w:start w:val="3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590"/>
        </w:tabs>
        <w:ind w:left="159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90"/>
        </w:tabs>
        <w:ind w:left="189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250"/>
        </w:tabs>
        <w:ind w:left="225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2250"/>
        </w:tabs>
        <w:ind w:left="225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610"/>
        </w:tabs>
        <w:ind w:left="261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10"/>
        </w:tabs>
        <w:ind w:left="261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70"/>
        </w:tabs>
        <w:ind w:left="2970" w:hanging="1800"/>
      </w:pPr>
      <w:rPr>
        <w:rFonts w:hint="default"/>
        <w:b/>
        <w:i w:val="0"/>
      </w:rPr>
    </w:lvl>
  </w:abstractNum>
  <w:abstractNum w:abstractNumId="1">
    <w:nsid w:val="09D85C71"/>
    <w:multiLevelType w:val="singleLevel"/>
    <w:tmpl w:val="FCD2C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0C43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7D00F5"/>
    <w:multiLevelType w:val="multilevel"/>
    <w:tmpl w:val="D3B0C602"/>
    <w:lvl w:ilvl="0">
      <w:start w:val="7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>
    <w:nsid w:val="26885A5A"/>
    <w:multiLevelType w:val="hybridMultilevel"/>
    <w:tmpl w:val="0DC837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41675D"/>
    <w:multiLevelType w:val="multilevel"/>
    <w:tmpl w:val="61EAE9F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8BB040F"/>
    <w:multiLevelType w:val="multilevel"/>
    <w:tmpl w:val="CE74D98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4CF465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7716064"/>
    <w:multiLevelType w:val="multilevel"/>
    <w:tmpl w:val="CE74D98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>
    <w:nsid w:val="626B7BFA"/>
    <w:multiLevelType w:val="multilevel"/>
    <w:tmpl w:val="03A412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>
    <w:nsid w:val="6567778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7B60DC2"/>
    <w:multiLevelType w:val="singleLevel"/>
    <w:tmpl w:val="FCD2C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86F3D13"/>
    <w:multiLevelType w:val="hybridMultilevel"/>
    <w:tmpl w:val="6B840F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94014A0"/>
    <w:multiLevelType w:val="singleLevel"/>
    <w:tmpl w:val="FCD2C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0471C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36A7432"/>
    <w:multiLevelType w:val="multilevel"/>
    <w:tmpl w:val="ED3A62A4"/>
    <w:lvl w:ilvl="0">
      <w:start w:val="7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6">
    <w:nsid w:val="77110DB6"/>
    <w:multiLevelType w:val="multilevel"/>
    <w:tmpl w:val="5DCCDF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30"/>
        </w:tabs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930"/>
        </w:tabs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14"/>
  </w:num>
  <w:num w:numId="6">
    <w:abstractNumId w:val="5"/>
  </w:num>
  <w:num w:numId="7">
    <w:abstractNumId w:val="12"/>
  </w:num>
  <w:num w:numId="8">
    <w:abstractNumId w:val="1"/>
  </w:num>
  <w:num w:numId="9">
    <w:abstractNumId w:val="13"/>
  </w:num>
  <w:num w:numId="10">
    <w:abstractNumId w:val="11"/>
  </w:num>
  <w:num w:numId="11">
    <w:abstractNumId w:val="0"/>
  </w:num>
  <w:num w:numId="12">
    <w:abstractNumId w:val="16"/>
  </w:num>
  <w:num w:numId="13">
    <w:abstractNumId w:val="3"/>
  </w:num>
  <w:num w:numId="14">
    <w:abstractNumId w:val="9"/>
  </w:num>
  <w:num w:numId="15">
    <w:abstractNumId w:val="15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FF"/>
    <w:rsid w:val="000000BB"/>
    <w:rsid w:val="00041EED"/>
    <w:rsid w:val="00042A00"/>
    <w:rsid w:val="00052C65"/>
    <w:rsid w:val="00070BC9"/>
    <w:rsid w:val="000B1A67"/>
    <w:rsid w:val="000C53AC"/>
    <w:rsid w:val="000E390E"/>
    <w:rsid w:val="000F4F4D"/>
    <w:rsid w:val="000F5AE6"/>
    <w:rsid w:val="001164F6"/>
    <w:rsid w:val="00121D12"/>
    <w:rsid w:val="00125773"/>
    <w:rsid w:val="00143BA8"/>
    <w:rsid w:val="00146EA7"/>
    <w:rsid w:val="00165EB4"/>
    <w:rsid w:val="00180D7C"/>
    <w:rsid w:val="001A0EF5"/>
    <w:rsid w:val="001A66EE"/>
    <w:rsid w:val="001C1A35"/>
    <w:rsid w:val="001E6522"/>
    <w:rsid w:val="00202827"/>
    <w:rsid w:val="0021177E"/>
    <w:rsid w:val="00263579"/>
    <w:rsid w:val="002757C2"/>
    <w:rsid w:val="00277878"/>
    <w:rsid w:val="002D3181"/>
    <w:rsid w:val="002D3D90"/>
    <w:rsid w:val="002E3F0B"/>
    <w:rsid w:val="002E69F9"/>
    <w:rsid w:val="0033278C"/>
    <w:rsid w:val="003445A8"/>
    <w:rsid w:val="00347440"/>
    <w:rsid w:val="00353E68"/>
    <w:rsid w:val="0036099D"/>
    <w:rsid w:val="0036279B"/>
    <w:rsid w:val="00384425"/>
    <w:rsid w:val="00394024"/>
    <w:rsid w:val="00394805"/>
    <w:rsid w:val="003B688B"/>
    <w:rsid w:val="003C78CD"/>
    <w:rsid w:val="003F478F"/>
    <w:rsid w:val="00433454"/>
    <w:rsid w:val="004B0899"/>
    <w:rsid w:val="004B64E8"/>
    <w:rsid w:val="004C71C8"/>
    <w:rsid w:val="004D1CC3"/>
    <w:rsid w:val="004E43FC"/>
    <w:rsid w:val="004F502E"/>
    <w:rsid w:val="005108B0"/>
    <w:rsid w:val="00536959"/>
    <w:rsid w:val="00566A9D"/>
    <w:rsid w:val="005A6D83"/>
    <w:rsid w:val="005F63E9"/>
    <w:rsid w:val="006769D3"/>
    <w:rsid w:val="0068152C"/>
    <w:rsid w:val="006822BD"/>
    <w:rsid w:val="006B0D5D"/>
    <w:rsid w:val="006B5FA4"/>
    <w:rsid w:val="006E5597"/>
    <w:rsid w:val="007005BD"/>
    <w:rsid w:val="00727065"/>
    <w:rsid w:val="00733FD1"/>
    <w:rsid w:val="00741D36"/>
    <w:rsid w:val="00774F5D"/>
    <w:rsid w:val="007766FA"/>
    <w:rsid w:val="007A1F23"/>
    <w:rsid w:val="007C0198"/>
    <w:rsid w:val="007E6219"/>
    <w:rsid w:val="007F0564"/>
    <w:rsid w:val="0082298C"/>
    <w:rsid w:val="00833A37"/>
    <w:rsid w:val="008443FF"/>
    <w:rsid w:val="00846A26"/>
    <w:rsid w:val="00852EAF"/>
    <w:rsid w:val="008654A0"/>
    <w:rsid w:val="00894EFA"/>
    <w:rsid w:val="0089534E"/>
    <w:rsid w:val="00897B02"/>
    <w:rsid w:val="008B760D"/>
    <w:rsid w:val="008C6AFF"/>
    <w:rsid w:val="008E6381"/>
    <w:rsid w:val="008F4260"/>
    <w:rsid w:val="008F6C02"/>
    <w:rsid w:val="009008C4"/>
    <w:rsid w:val="00911420"/>
    <w:rsid w:val="00911E59"/>
    <w:rsid w:val="00916284"/>
    <w:rsid w:val="00963DA8"/>
    <w:rsid w:val="00982F5F"/>
    <w:rsid w:val="00994AC8"/>
    <w:rsid w:val="00997921"/>
    <w:rsid w:val="009B3F1E"/>
    <w:rsid w:val="009D0DB0"/>
    <w:rsid w:val="009D7AC4"/>
    <w:rsid w:val="009E2B67"/>
    <w:rsid w:val="00A13920"/>
    <w:rsid w:val="00A46446"/>
    <w:rsid w:val="00A46700"/>
    <w:rsid w:val="00A50082"/>
    <w:rsid w:val="00A60D6E"/>
    <w:rsid w:val="00A6381C"/>
    <w:rsid w:val="00AC750F"/>
    <w:rsid w:val="00AE29D7"/>
    <w:rsid w:val="00B26454"/>
    <w:rsid w:val="00B33E66"/>
    <w:rsid w:val="00B45C7F"/>
    <w:rsid w:val="00B4691C"/>
    <w:rsid w:val="00B62891"/>
    <w:rsid w:val="00B82E89"/>
    <w:rsid w:val="00BB2B21"/>
    <w:rsid w:val="00BB41EB"/>
    <w:rsid w:val="00BD37D4"/>
    <w:rsid w:val="00C0086E"/>
    <w:rsid w:val="00C01994"/>
    <w:rsid w:val="00C40343"/>
    <w:rsid w:val="00C75E5A"/>
    <w:rsid w:val="00C83809"/>
    <w:rsid w:val="00CB1F66"/>
    <w:rsid w:val="00CB5A33"/>
    <w:rsid w:val="00CD6B24"/>
    <w:rsid w:val="00CD76B3"/>
    <w:rsid w:val="00D05E6C"/>
    <w:rsid w:val="00D211BE"/>
    <w:rsid w:val="00D217A9"/>
    <w:rsid w:val="00D3644E"/>
    <w:rsid w:val="00D8709E"/>
    <w:rsid w:val="00D872FC"/>
    <w:rsid w:val="00DC0BD5"/>
    <w:rsid w:val="00DD23CA"/>
    <w:rsid w:val="00DE4F8F"/>
    <w:rsid w:val="00E365A7"/>
    <w:rsid w:val="00E629C6"/>
    <w:rsid w:val="00E63A4D"/>
    <w:rsid w:val="00E65735"/>
    <w:rsid w:val="00E67785"/>
    <w:rsid w:val="00E7103C"/>
    <w:rsid w:val="00E76A2F"/>
    <w:rsid w:val="00EB5AD3"/>
    <w:rsid w:val="00EB6C10"/>
    <w:rsid w:val="00EC34C5"/>
    <w:rsid w:val="00ED0FA4"/>
    <w:rsid w:val="00ED758D"/>
    <w:rsid w:val="00F0149B"/>
    <w:rsid w:val="00F018A1"/>
    <w:rsid w:val="00F3508C"/>
    <w:rsid w:val="00F374CD"/>
    <w:rsid w:val="00F43B25"/>
    <w:rsid w:val="00F8069F"/>
    <w:rsid w:val="00FF166C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lockText">
    <w:name w:val="Block Text"/>
    <w:basedOn w:val="Normal"/>
    <w:pPr>
      <w:ind w:left="-432" w:right="-432"/>
      <w:jc w:val="both"/>
    </w:pPr>
    <w:rPr>
      <w:rFonts w:ascii="Arial" w:hAnsi="Arial" w:cs="Arial"/>
      <w:sz w:val="2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8"/>
    </w:rPr>
  </w:style>
  <w:style w:type="paragraph" w:styleId="Footer">
    <w:name w:val="footer"/>
    <w:basedOn w:val="Normal"/>
    <w:rsid w:val="00ED0F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0FA4"/>
  </w:style>
  <w:style w:type="paragraph" w:styleId="NormalWeb">
    <w:name w:val="Normal (Web)"/>
    <w:basedOn w:val="Normal"/>
    <w:rsid w:val="00D211BE"/>
    <w:pPr>
      <w:spacing w:after="11"/>
    </w:pPr>
    <w:rPr>
      <w:sz w:val="24"/>
      <w:szCs w:val="24"/>
    </w:rPr>
  </w:style>
  <w:style w:type="character" w:customStyle="1" w:styleId="cu0326">
    <w:name w:val="cu0326"/>
    <w:basedOn w:val="DefaultParagraphFont"/>
    <w:semiHidden/>
    <w:rsid w:val="00D211BE"/>
    <w:rPr>
      <w:rFonts w:ascii="Arial" w:hAnsi="Arial" w:cs="Arial"/>
      <w:color w:val="000000"/>
      <w:sz w:val="20"/>
    </w:rPr>
  </w:style>
  <w:style w:type="paragraph" w:styleId="BalloonText">
    <w:name w:val="Balloon Text"/>
    <w:basedOn w:val="Normal"/>
    <w:semiHidden/>
    <w:rsid w:val="002635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0199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6C02"/>
    <w:pPr>
      <w:ind w:left="720"/>
      <w:contextualSpacing/>
    </w:pPr>
  </w:style>
  <w:style w:type="character" w:styleId="CommentReference">
    <w:name w:val="annotation reference"/>
    <w:basedOn w:val="DefaultParagraphFont"/>
    <w:rsid w:val="00741D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1D36"/>
  </w:style>
  <w:style w:type="character" w:customStyle="1" w:styleId="CommentTextChar">
    <w:name w:val="Comment Text Char"/>
    <w:basedOn w:val="DefaultParagraphFont"/>
    <w:link w:val="CommentText"/>
    <w:rsid w:val="00741D36"/>
  </w:style>
  <w:style w:type="paragraph" w:styleId="CommentSubject">
    <w:name w:val="annotation subject"/>
    <w:basedOn w:val="CommentText"/>
    <w:next w:val="CommentText"/>
    <w:link w:val="CommentSubjectChar"/>
    <w:rsid w:val="00741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1D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lockText">
    <w:name w:val="Block Text"/>
    <w:basedOn w:val="Normal"/>
    <w:pPr>
      <w:ind w:left="-432" w:right="-432"/>
      <w:jc w:val="both"/>
    </w:pPr>
    <w:rPr>
      <w:rFonts w:ascii="Arial" w:hAnsi="Arial" w:cs="Arial"/>
      <w:sz w:val="2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8"/>
    </w:rPr>
  </w:style>
  <w:style w:type="paragraph" w:styleId="Footer">
    <w:name w:val="footer"/>
    <w:basedOn w:val="Normal"/>
    <w:rsid w:val="00ED0F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0FA4"/>
  </w:style>
  <w:style w:type="paragraph" w:styleId="NormalWeb">
    <w:name w:val="Normal (Web)"/>
    <w:basedOn w:val="Normal"/>
    <w:rsid w:val="00D211BE"/>
    <w:pPr>
      <w:spacing w:after="11"/>
    </w:pPr>
    <w:rPr>
      <w:sz w:val="24"/>
      <w:szCs w:val="24"/>
    </w:rPr>
  </w:style>
  <w:style w:type="character" w:customStyle="1" w:styleId="cu0326">
    <w:name w:val="cu0326"/>
    <w:basedOn w:val="DefaultParagraphFont"/>
    <w:semiHidden/>
    <w:rsid w:val="00D211BE"/>
    <w:rPr>
      <w:rFonts w:ascii="Arial" w:hAnsi="Arial" w:cs="Arial"/>
      <w:color w:val="000000"/>
      <w:sz w:val="20"/>
    </w:rPr>
  </w:style>
  <w:style w:type="paragraph" w:styleId="BalloonText">
    <w:name w:val="Balloon Text"/>
    <w:basedOn w:val="Normal"/>
    <w:semiHidden/>
    <w:rsid w:val="002635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0199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6C02"/>
    <w:pPr>
      <w:ind w:left="720"/>
      <w:contextualSpacing/>
    </w:pPr>
  </w:style>
  <w:style w:type="character" w:styleId="CommentReference">
    <w:name w:val="annotation reference"/>
    <w:basedOn w:val="DefaultParagraphFont"/>
    <w:rsid w:val="00741D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1D36"/>
  </w:style>
  <w:style w:type="character" w:customStyle="1" w:styleId="CommentTextChar">
    <w:name w:val="Comment Text Char"/>
    <w:basedOn w:val="DefaultParagraphFont"/>
    <w:link w:val="CommentText"/>
    <w:rsid w:val="00741D36"/>
  </w:style>
  <w:style w:type="paragraph" w:styleId="CommentSubject">
    <w:name w:val="annotation subject"/>
    <w:basedOn w:val="CommentText"/>
    <w:next w:val="CommentText"/>
    <w:link w:val="CommentSubjectChar"/>
    <w:rsid w:val="00741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1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18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Revenue – Policies</vt:lpstr>
    </vt:vector>
  </TitlesOfParts>
  <Company>Dell Computer Corporation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JUDICIAL BRANCH</dc:title>
  <cp:lastModifiedBy>Cook, Kevin</cp:lastModifiedBy>
  <cp:revision>2</cp:revision>
  <cp:lastPrinted>2017-02-01T23:46:00Z</cp:lastPrinted>
  <dcterms:created xsi:type="dcterms:W3CDTF">2017-06-12T20:31:00Z</dcterms:created>
  <dcterms:modified xsi:type="dcterms:W3CDTF">2017-06-12T20:31:00Z</dcterms:modified>
</cp:coreProperties>
</file>