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EE158" w14:textId="77777777" w:rsidR="00746D1C" w:rsidRDefault="00746D1C" w:rsidP="00AF5C35">
      <w:pPr>
        <w:widowControl/>
        <w:jc w:val="center"/>
        <w:rPr>
          <w:rFonts w:ascii="Arial" w:hAnsi="Arial" w:cs="Arial"/>
          <w:b/>
          <w:bCs/>
        </w:rPr>
      </w:pPr>
    </w:p>
    <w:p w14:paraId="51AAEB19" w14:textId="0B7FB77D" w:rsidR="00154F36" w:rsidRPr="00154F36" w:rsidRDefault="00AF5C35" w:rsidP="00AF5C35">
      <w:pPr>
        <w:widowControl/>
        <w:jc w:val="center"/>
        <w:rPr>
          <w:rFonts w:ascii="Arial" w:hAnsi="Arial" w:cs="Arial"/>
          <w:b/>
          <w:bCs/>
        </w:rPr>
      </w:pPr>
      <w:r>
        <w:rPr>
          <w:rFonts w:ascii="Arial" w:hAnsi="Arial" w:cs="Arial"/>
          <w:b/>
          <w:bCs/>
        </w:rPr>
        <w:t>MONTANA __________</w:t>
      </w:r>
      <w:r w:rsidR="00154F36" w:rsidRPr="00154F36">
        <w:rPr>
          <w:rFonts w:ascii="Arial" w:hAnsi="Arial" w:cs="Arial"/>
          <w:b/>
          <w:bCs/>
        </w:rPr>
        <w:t xml:space="preserve"> JUDICIAL DISTRICT COURT</w:t>
      </w:r>
      <w:r>
        <w:rPr>
          <w:rFonts w:ascii="Arial" w:hAnsi="Arial" w:cs="Arial"/>
          <w:b/>
          <w:bCs/>
        </w:rPr>
        <w:t xml:space="preserve">, </w:t>
      </w:r>
      <w:r w:rsidR="00154F36" w:rsidRPr="00154F36">
        <w:rPr>
          <w:rFonts w:ascii="Arial" w:hAnsi="Arial" w:cs="Arial"/>
          <w:b/>
          <w:bCs/>
        </w:rPr>
        <w:t>________________ COUNTY</w:t>
      </w:r>
    </w:p>
    <w:p w14:paraId="250A0915" w14:textId="77777777" w:rsidR="00154F36" w:rsidRPr="00154F36" w:rsidRDefault="00154F36" w:rsidP="00154F36">
      <w:pPr>
        <w:rPr>
          <w:rFonts w:ascii="Arial" w:hAnsi="Arial"/>
        </w:rPr>
      </w:pPr>
    </w:p>
    <w:tbl>
      <w:tblPr>
        <w:tblStyle w:val="TableGrid"/>
        <w:tblW w:w="0" w:type="auto"/>
        <w:tblLook w:val="04A0" w:firstRow="1" w:lastRow="0" w:firstColumn="1" w:lastColumn="0" w:noHBand="0" w:noVBand="1"/>
      </w:tblPr>
      <w:tblGrid>
        <w:gridCol w:w="4772"/>
        <w:gridCol w:w="4588"/>
      </w:tblGrid>
      <w:tr w:rsidR="00154F36" w:rsidRPr="00154F36" w14:paraId="1AFCBA9B" w14:textId="77777777" w:rsidTr="00140342">
        <w:tc>
          <w:tcPr>
            <w:tcW w:w="4788" w:type="dxa"/>
            <w:tcBorders>
              <w:left w:val="nil"/>
            </w:tcBorders>
          </w:tcPr>
          <w:p w14:paraId="0D0B2CCB" w14:textId="77777777" w:rsidR="00154F36" w:rsidRPr="00154F36" w:rsidRDefault="00154F36" w:rsidP="00154F36">
            <w:pPr>
              <w:rPr>
                <w:rFonts w:ascii="Arial" w:hAnsi="Arial"/>
              </w:rPr>
            </w:pPr>
            <w:r w:rsidRPr="00154F36">
              <w:rPr>
                <w:rFonts w:ascii="Arial" w:hAnsi="Arial"/>
              </w:rPr>
              <w:t>In re the Marriage of:</w:t>
            </w:r>
          </w:p>
          <w:p w14:paraId="00C22A23" w14:textId="77777777" w:rsidR="00154F36" w:rsidRPr="00154F36" w:rsidRDefault="00154F36" w:rsidP="00154F36">
            <w:pPr>
              <w:widowControl/>
              <w:rPr>
                <w:rFonts w:ascii="Arial" w:hAnsi="Arial" w:cs="Arial"/>
              </w:rPr>
            </w:pPr>
          </w:p>
          <w:p w14:paraId="33D731A5" w14:textId="77777777" w:rsidR="00154F36" w:rsidRPr="00154F36" w:rsidRDefault="00154F36" w:rsidP="00154F36">
            <w:pPr>
              <w:widowControl/>
              <w:rPr>
                <w:rFonts w:ascii="Arial" w:hAnsi="Arial" w:cs="Arial"/>
              </w:rPr>
            </w:pPr>
            <w:r w:rsidRPr="00154F36">
              <w:rPr>
                <w:rFonts w:ascii="Arial" w:hAnsi="Arial" w:cs="Arial"/>
              </w:rPr>
              <w:t>_________________</w:t>
            </w:r>
            <w:r>
              <w:rPr>
                <w:rFonts w:ascii="Arial" w:hAnsi="Arial" w:cs="Arial"/>
              </w:rPr>
              <w:t>________________</w:t>
            </w:r>
            <w:r w:rsidRPr="00154F36">
              <w:rPr>
                <w:rFonts w:ascii="Arial" w:hAnsi="Arial" w:cs="Arial"/>
              </w:rPr>
              <w:t>,</w:t>
            </w:r>
          </w:p>
          <w:p w14:paraId="619851DF" w14:textId="77777777" w:rsidR="00154F36" w:rsidRPr="00154F36" w:rsidRDefault="00154F36" w:rsidP="00154F36">
            <w:pPr>
              <w:widowControl/>
              <w:tabs>
                <w:tab w:val="left" w:pos="-1440"/>
              </w:tabs>
              <w:ind w:left="2158" w:hanging="2158"/>
              <w:jc w:val="right"/>
              <w:rPr>
                <w:rFonts w:ascii="Arial" w:hAnsi="Arial" w:cs="Arial"/>
              </w:rPr>
            </w:pPr>
            <w:r w:rsidRPr="00154F36">
              <w:rPr>
                <w:rFonts w:ascii="Arial" w:hAnsi="Arial" w:cs="Arial"/>
              </w:rPr>
              <w:t xml:space="preserve"> </w:t>
            </w:r>
            <w:r w:rsidRPr="00154F36">
              <w:rPr>
                <w:rFonts w:ascii="Arial" w:hAnsi="Arial" w:cs="Arial"/>
              </w:rPr>
              <w:tab/>
            </w:r>
            <w:r w:rsidRPr="00154F36">
              <w:rPr>
                <w:rFonts w:ascii="Arial" w:hAnsi="Arial" w:cs="Arial"/>
              </w:rPr>
              <w:tab/>
            </w:r>
            <w:r w:rsidRPr="00154F36">
              <w:rPr>
                <w:rFonts w:ascii="Arial" w:hAnsi="Arial" w:cs="Arial"/>
              </w:rPr>
              <w:tab/>
              <w:t xml:space="preserve">Petitioner </w:t>
            </w:r>
            <w:r w:rsidRPr="00154F36">
              <w:rPr>
                <w:rFonts w:ascii="Arial" w:hAnsi="Arial" w:cs="Arial"/>
                <w:i/>
                <w:sz w:val="20"/>
                <w:szCs w:val="20"/>
              </w:rPr>
              <w:t>(you)</w:t>
            </w:r>
            <w:r w:rsidRPr="00154F36">
              <w:rPr>
                <w:rFonts w:ascii="Arial" w:hAnsi="Arial" w:cs="Arial"/>
              </w:rPr>
              <w:t>,</w:t>
            </w:r>
          </w:p>
          <w:p w14:paraId="2B89AF91" w14:textId="77777777" w:rsidR="00154F36" w:rsidRPr="00154F36" w:rsidRDefault="00154F36" w:rsidP="00154F36">
            <w:pPr>
              <w:widowControl/>
              <w:rPr>
                <w:rFonts w:ascii="Arial" w:hAnsi="Arial" w:cs="Arial"/>
              </w:rPr>
            </w:pPr>
          </w:p>
          <w:p w14:paraId="5C211DD9" w14:textId="77777777" w:rsidR="00154F36" w:rsidRPr="00154F36" w:rsidRDefault="00154F36" w:rsidP="00154F36">
            <w:pPr>
              <w:widowControl/>
              <w:rPr>
                <w:rFonts w:ascii="Arial" w:hAnsi="Arial" w:cs="Arial"/>
              </w:rPr>
            </w:pPr>
            <w:r w:rsidRPr="00154F36">
              <w:rPr>
                <w:rFonts w:ascii="Arial" w:hAnsi="Arial" w:cs="Arial"/>
              </w:rPr>
              <w:t>and</w:t>
            </w:r>
          </w:p>
          <w:p w14:paraId="7D82F54E" w14:textId="77777777" w:rsidR="00154F36" w:rsidRPr="00154F36" w:rsidRDefault="00154F36" w:rsidP="00154F36">
            <w:pPr>
              <w:widowControl/>
              <w:rPr>
                <w:rFonts w:ascii="Arial" w:hAnsi="Arial" w:cs="Arial"/>
              </w:rPr>
            </w:pPr>
          </w:p>
          <w:p w14:paraId="2409AB9F" w14:textId="77777777" w:rsidR="00154F36" w:rsidRPr="00154F36" w:rsidRDefault="00154F36" w:rsidP="00154F36">
            <w:pPr>
              <w:widowControl/>
              <w:rPr>
                <w:rFonts w:ascii="Arial" w:hAnsi="Arial" w:cs="Arial"/>
              </w:rPr>
            </w:pPr>
          </w:p>
          <w:p w14:paraId="2209B706" w14:textId="77777777" w:rsidR="00154F36" w:rsidRPr="00154F36" w:rsidRDefault="00154F36" w:rsidP="00154F36">
            <w:pPr>
              <w:widowControl/>
              <w:rPr>
                <w:rFonts w:ascii="Arial" w:hAnsi="Arial" w:cs="Arial"/>
              </w:rPr>
            </w:pPr>
            <w:r w:rsidRPr="00154F36">
              <w:rPr>
                <w:rFonts w:ascii="Arial" w:hAnsi="Arial" w:cs="Arial"/>
              </w:rPr>
              <w:t>___________________</w:t>
            </w:r>
            <w:r>
              <w:rPr>
                <w:rFonts w:ascii="Arial" w:hAnsi="Arial" w:cs="Arial"/>
              </w:rPr>
              <w:t>______________</w:t>
            </w:r>
            <w:r w:rsidRPr="00154F36">
              <w:rPr>
                <w:rFonts w:ascii="Arial" w:hAnsi="Arial" w:cs="Arial"/>
              </w:rPr>
              <w:t>,</w:t>
            </w:r>
          </w:p>
          <w:p w14:paraId="69BF26DC" w14:textId="77777777" w:rsidR="00154F36" w:rsidRPr="00154F36" w:rsidRDefault="00154F36" w:rsidP="00154F36">
            <w:pPr>
              <w:widowControl/>
              <w:jc w:val="right"/>
              <w:rPr>
                <w:rFonts w:ascii="Arial" w:hAnsi="Arial" w:cs="Arial"/>
              </w:rPr>
            </w:pPr>
            <w:r w:rsidRPr="00154F36">
              <w:rPr>
                <w:rFonts w:ascii="Arial" w:hAnsi="Arial" w:cs="Arial"/>
              </w:rPr>
              <w:t xml:space="preserve">Respondent </w:t>
            </w:r>
            <w:r w:rsidRPr="00154F36">
              <w:rPr>
                <w:rFonts w:ascii="Arial" w:hAnsi="Arial" w:cs="Arial"/>
                <w:i/>
                <w:sz w:val="20"/>
                <w:szCs w:val="20"/>
              </w:rPr>
              <w:t>(your spouse)</w:t>
            </w:r>
            <w:r w:rsidRPr="00154F36">
              <w:rPr>
                <w:rFonts w:ascii="Arial" w:hAnsi="Arial" w:cs="Arial"/>
              </w:rPr>
              <w:t>.</w:t>
            </w:r>
          </w:p>
          <w:p w14:paraId="6542C346" w14:textId="77777777" w:rsidR="00154F36" w:rsidRPr="00154F36" w:rsidRDefault="00154F36" w:rsidP="00154F36">
            <w:pPr>
              <w:rPr>
                <w:rFonts w:ascii="Arial" w:hAnsi="Arial"/>
              </w:rPr>
            </w:pPr>
          </w:p>
        </w:tc>
        <w:tc>
          <w:tcPr>
            <w:tcW w:w="4788" w:type="dxa"/>
            <w:tcBorders>
              <w:right w:val="nil"/>
            </w:tcBorders>
          </w:tcPr>
          <w:p w14:paraId="4D4A5036" w14:textId="77777777" w:rsidR="00154F36" w:rsidRPr="00154F36" w:rsidRDefault="00154F36" w:rsidP="00154F36">
            <w:pPr>
              <w:rPr>
                <w:rFonts w:ascii="Arial" w:hAnsi="Arial" w:cs="Arial"/>
                <w:b/>
                <w:bCs/>
              </w:rPr>
            </w:pPr>
          </w:p>
          <w:p w14:paraId="36F40428" w14:textId="77777777" w:rsidR="00154F36" w:rsidRPr="00154F36" w:rsidRDefault="00154F36" w:rsidP="00154F36">
            <w:pPr>
              <w:rPr>
                <w:rFonts w:ascii="Arial" w:hAnsi="Arial" w:cs="Arial"/>
              </w:rPr>
            </w:pPr>
            <w:r w:rsidRPr="00154F36">
              <w:rPr>
                <w:rFonts w:ascii="Arial" w:hAnsi="Arial" w:cs="Arial"/>
                <w:b/>
                <w:bCs/>
              </w:rPr>
              <w:t>Case No:</w:t>
            </w:r>
            <w:r w:rsidRPr="00154F36">
              <w:rPr>
                <w:rFonts w:ascii="Arial" w:hAnsi="Arial" w:cs="Arial"/>
              </w:rPr>
              <w:t xml:space="preserve"> _________________________</w:t>
            </w:r>
          </w:p>
          <w:p w14:paraId="4A503285" w14:textId="7BFE8333" w:rsidR="00154F36" w:rsidRPr="00154F36" w:rsidRDefault="00154F36" w:rsidP="00154F36">
            <w:pPr>
              <w:rPr>
                <w:rFonts w:ascii="Arial" w:hAnsi="Arial" w:cs="Arial"/>
                <w:i/>
                <w:sz w:val="20"/>
                <w:szCs w:val="20"/>
              </w:rPr>
            </w:pPr>
            <w:r w:rsidRPr="00154F36">
              <w:rPr>
                <w:rFonts w:ascii="Arial" w:hAnsi="Arial" w:cs="Arial"/>
              </w:rPr>
              <w:t xml:space="preserve"> </w:t>
            </w:r>
            <w:r w:rsidRPr="00154F36">
              <w:rPr>
                <w:rFonts w:ascii="Arial" w:hAnsi="Arial" w:cs="Arial"/>
                <w:i/>
                <w:sz w:val="20"/>
                <w:szCs w:val="20"/>
              </w:rPr>
              <w:t>(leave blank, the clerk will complete)</w:t>
            </w:r>
          </w:p>
          <w:p w14:paraId="01AEF6CE" w14:textId="77777777" w:rsidR="00154F36" w:rsidRPr="00154F36" w:rsidRDefault="00154F36" w:rsidP="00154F36">
            <w:pPr>
              <w:keepNext/>
              <w:widowControl/>
              <w:adjustRightInd/>
              <w:jc w:val="center"/>
              <w:outlineLvl w:val="2"/>
              <w:rPr>
                <w:rFonts w:ascii="Arial" w:hAnsi="Arial" w:cs="Arial"/>
                <w:b/>
                <w:bCs/>
              </w:rPr>
            </w:pPr>
          </w:p>
          <w:p w14:paraId="303EF230" w14:textId="77777777" w:rsidR="00154F36" w:rsidRPr="00154F36" w:rsidRDefault="00154F36" w:rsidP="00154F36">
            <w:pPr>
              <w:widowControl/>
              <w:jc w:val="center"/>
              <w:rPr>
                <w:rFonts w:ascii="Arial" w:hAnsi="Arial" w:cs="Arial"/>
                <w:b/>
                <w:bCs/>
                <w:sz w:val="32"/>
                <w:szCs w:val="32"/>
              </w:rPr>
            </w:pPr>
          </w:p>
          <w:p w14:paraId="79DDDB80" w14:textId="77777777" w:rsidR="007503BA" w:rsidRPr="007503BA" w:rsidRDefault="00524B20" w:rsidP="007503BA">
            <w:pPr>
              <w:jc w:val="center"/>
              <w:rPr>
                <w:rFonts w:ascii="Arial" w:hAnsi="Arial" w:cs="Arial"/>
                <w:sz w:val="32"/>
                <w:szCs w:val="32"/>
              </w:rPr>
            </w:pPr>
            <w:r>
              <w:rPr>
                <w:rFonts w:ascii="Arial" w:hAnsi="Arial" w:cs="Arial"/>
                <w:b/>
                <w:bCs/>
                <w:sz w:val="32"/>
                <w:szCs w:val="32"/>
              </w:rPr>
              <w:t>Summons and Automatic</w:t>
            </w:r>
            <w:r w:rsidR="007503BA" w:rsidRPr="007503BA">
              <w:rPr>
                <w:rFonts w:ascii="Arial" w:hAnsi="Arial" w:cs="Arial"/>
                <w:b/>
                <w:bCs/>
                <w:sz w:val="32"/>
                <w:szCs w:val="32"/>
              </w:rPr>
              <w:t xml:space="preserve"> Economic Restraining Order by Clerk of Court</w:t>
            </w:r>
          </w:p>
          <w:p w14:paraId="4F3AB9F5" w14:textId="77777777" w:rsidR="00154F36" w:rsidRPr="00154F36" w:rsidRDefault="00154F36" w:rsidP="007503BA">
            <w:pPr>
              <w:widowControl/>
              <w:jc w:val="center"/>
              <w:rPr>
                <w:rFonts w:ascii="Arial" w:hAnsi="Arial"/>
              </w:rPr>
            </w:pPr>
          </w:p>
        </w:tc>
      </w:tr>
    </w:tbl>
    <w:p w14:paraId="6C8F9489" w14:textId="77777777" w:rsidR="00154F36" w:rsidRPr="00154F36" w:rsidRDefault="00154F36" w:rsidP="00154F36">
      <w:pPr>
        <w:spacing w:before="120"/>
        <w:rPr>
          <w:rFonts w:ascii="Arial" w:hAnsi="Arial"/>
        </w:rPr>
      </w:pPr>
    </w:p>
    <w:p w14:paraId="5B424FDE" w14:textId="77777777" w:rsidR="007503BA" w:rsidRPr="00F166A2" w:rsidRDefault="007503BA" w:rsidP="00AF5C35">
      <w:pPr>
        <w:rPr>
          <w:rFonts w:ascii="Arial" w:eastAsiaTheme="minorEastAsia" w:hAnsi="Arial" w:cs="Arial"/>
          <w:b/>
          <w:bCs/>
        </w:rPr>
      </w:pPr>
      <w:r w:rsidRPr="00F166A2">
        <w:rPr>
          <w:rFonts w:ascii="Arial" w:eastAsiaTheme="minorEastAsia" w:hAnsi="Arial" w:cs="Arial"/>
          <w:b/>
          <w:bCs/>
        </w:rPr>
        <w:t xml:space="preserve">NOTICE:  </w:t>
      </w:r>
      <w:r w:rsidR="00B5473B" w:rsidRPr="00F166A2">
        <w:rPr>
          <w:rFonts w:ascii="Arial" w:eastAsiaTheme="minorEastAsia" w:hAnsi="Arial" w:cs="Arial"/>
          <w:b/>
          <w:bCs/>
        </w:rPr>
        <w:t>You are named in this family-law lawsuit.  The court may make a decision without your involvement unless you submit a written response to the court and to the Petitioner within 21 days.  Read the information below.</w:t>
      </w:r>
    </w:p>
    <w:p w14:paraId="19FEDA7B" w14:textId="77777777" w:rsidR="004A6896" w:rsidRPr="004A6896" w:rsidRDefault="004A6896" w:rsidP="004A6896">
      <w:pPr>
        <w:jc w:val="both"/>
        <w:rPr>
          <w:rFonts w:ascii="Calibri" w:hAnsi="Calibri"/>
          <w:color w:val="000000"/>
          <w:sz w:val="22"/>
          <w:szCs w:val="22"/>
        </w:rPr>
      </w:pPr>
    </w:p>
    <w:p w14:paraId="61106A90" w14:textId="0D767B36" w:rsidR="00190A74" w:rsidRDefault="00E62974">
      <w:pPr>
        <w:spacing w:line="360" w:lineRule="auto"/>
        <w:ind w:firstLine="720"/>
        <w:jc w:val="both"/>
        <w:rPr>
          <w:rFonts w:ascii="Arial" w:hAnsi="Arial" w:cs="Arial"/>
        </w:rPr>
      </w:pPr>
      <w:r>
        <w:rPr>
          <w:rFonts w:ascii="Arial" w:hAnsi="Arial" w:cs="Arial"/>
        </w:rPr>
        <w:t>A P</w:t>
      </w:r>
      <w:r w:rsidR="00937EA8">
        <w:rPr>
          <w:rFonts w:ascii="Arial" w:hAnsi="Arial" w:cs="Arial"/>
        </w:rPr>
        <w:t>etition has been</w:t>
      </w:r>
      <w:r w:rsidR="00EE657A">
        <w:rPr>
          <w:rFonts w:ascii="Arial" w:hAnsi="Arial" w:cs="Arial"/>
        </w:rPr>
        <w:t xml:space="preserve"> filed with the Clerk of District Court </w:t>
      </w:r>
      <w:r w:rsidR="00A0022F">
        <w:rPr>
          <w:rFonts w:ascii="Arial" w:hAnsi="Arial" w:cs="Arial"/>
        </w:rPr>
        <w:t xml:space="preserve">asking the court </w:t>
      </w:r>
      <w:r w:rsidR="00EE657A">
        <w:rPr>
          <w:rFonts w:ascii="Arial" w:hAnsi="Arial" w:cs="Arial"/>
        </w:rPr>
        <w:t>to d</w:t>
      </w:r>
      <w:r w:rsidR="00A0022F">
        <w:rPr>
          <w:rFonts w:ascii="Arial" w:hAnsi="Arial" w:cs="Arial"/>
        </w:rPr>
        <w:t>i</w:t>
      </w:r>
      <w:r w:rsidR="00175072">
        <w:rPr>
          <w:rFonts w:ascii="Arial" w:hAnsi="Arial" w:cs="Arial"/>
        </w:rPr>
        <w:t>ssolve your marriage</w:t>
      </w:r>
      <w:r w:rsidR="00EE657A">
        <w:rPr>
          <w:rFonts w:ascii="Arial" w:hAnsi="Arial" w:cs="Arial"/>
        </w:rPr>
        <w:t xml:space="preserve">. </w:t>
      </w:r>
      <w:r w:rsidR="007503BA">
        <w:rPr>
          <w:rFonts w:ascii="Arial" w:hAnsi="Arial" w:cs="Arial"/>
        </w:rPr>
        <w:t xml:space="preserve">You </w:t>
      </w:r>
      <w:r w:rsidR="00937EA8">
        <w:rPr>
          <w:rFonts w:ascii="Arial" w:hAnsi="Arial" w:cs="Arial"/>
        </w:rPr>
        <w:t>are receiving</w:t>
      </w:r>
      <w:r>
        <w:rPr>
          <w:rFonts w:ascii="Arial" w:hAnsi="Arial" w:cs="Arial"/>
        </w:rPr>
        <w:t xml:space="preserve"> a copy of the P</w:t>
      </w:r>
      <w:r w:rsidR="00D26A1A">
        <w:rPr>
          <w:rFonts w:ascii="Arial" w:hAnsi="Arial" w:cs="Arial"/>
        </w:rPr>
        <w:t>etition for D</w:t>
      </w:r>
      <w:r w:rsidR="007503BA">
        <w:rPr>
          <w:rFonts w:ascii="Arial" w:hAnsi="Arial" w:cs="Arial"/>
        </w:rPr>
        <w:t>issolution w</w:t>
      </w:r>
      <w:r>
        <w:rPr>
          <w:rFonts w:ascii="Arial" w:hAnsi="Arial" w:cs="Arial"/>
        </w:rPr>
        <w:t>ith this S</w:t>
      </w:r>
      <w:r w:rsidR="00F96344">
        <w:rPr>
          <w:rFonts w:ascii="Arial" w:hAnsi="Arial" w:cs="Arial"/>
        </w:rPr>
        <w:t xml:space="preserve">ummons.  </w:t>
      </w:r>
    </w:p>
    <w:p w14:paraId="4DD4F3E6" w14:textId="77777777" w:rsidR="007503BA" w:rsidRDefault="00F96344">
      <w:pPr>
        <w:spacing w:line="360" w:lineRule="auto"/>
        <w:ind w:firstLine="720"/>
        <w:jc w:val="both"/>
        <w:rPr>
          <w:rFonts w:ascii="Arial" w:hAnsi="Arial" w:cs="Arial"/>
        </w:rPr>
      </w:pPr>
      <w:r>
        <w:rPr>
          <w:rFonts w:ascii="Arial" w:hAnsi="Arial" w:cs="Arial"/>
        </w:rPr>
        <w:t xml:space="preserve">You must </w:t>
      </w:r>
      <w:r w:rsidR="00DC4303">
        <w:rPr>
          <w:rFonts w:ascii="Arial" w:hAnsi="Arial" w:cs="Arial"/>
        </w:rPr>
        <w:t>submit</w:t>
      </w:r>
      <w:r>
        <w:rPr>
          <w:rFonts w:ascii="Arial" w:hAnsi="Arial" w:cs="Arial"/>
        </w:rPr>
        <w:t xml:space="preserve"> a written response</w:t>
      </w:r>
      <w:r w:rsidR="00190A74">
        <w:rPr>
          <w:rFonts w:ascii="Arial" w:hAnsi="Arial" w:cs="Arial"/>
        </w:rPr>
        <w:t xml:space="preserve"> to the Clerk of District Court</w:t>
      </w:r>
      <w:r w:rsidR="007503BA">
        <w:rPr>
          <w:rFonts w:ascii="Arial" w:hAnsi="Arial" w:cs="Arial"/>
        </w:rPr>
        <w:t xml:space="preserve"> </w:t>
      </w:r>
      <w:r w:rsidR="00190A74">
        <w:rPr>
          <w:rFonts w:ascii="Arial" w:hAnsi="Arial" w:cs="Arial"/>
        </w:rPr>
        <w:t xml:space="preserve">and send a copy to the Petitioner </w:t>
      </w:r>
      <w:r w:rsidR="007503BA">
        <w:rPr>
          <w:rFonts w:ascii="Arial" w:hAnsi="Arial" w:cs="Arial"/>
        </w:rPr>
        <w:t>within 21</w:t>
      </w:r>
      <w:r w:rsidR="00B34833">
        <w:rPr>
          <w:rFonts w:ascii="Arial" w:hAnsi="Arial" w:cs="Arial"/>
        </w:rPr>
        <w:t xml:space="preserve"> calendar days.  Day 1 of the 21-day period is the day after you received this Summons.  If the 21</w:t>
      </w:r>
      <w:r w:rsidR="00B34833" w:rsidRPr="00B34833">
        <w:rPr>
          <w:rFonts w:ascii="Arial" w:hAnsi="Arial" w:cs="Arial"/>
          <w:vertAlign w:val="superscript"/>
        </w:rPr>
        <w:t>st</w:t>
      </w:r>
      <w:r w:rsidR="00B34833">
        <w:rPr>
          <w:rFonts w:ascii="Arial" w:hAnsi="Arial" w:cs="Arial"/>
        </w:rPr>
        <w:t xml:space="preserve"> </w:t>
      </w:r>
      <w:r w:rsidR="007503BA">
        <w:rPr>
          <w:rFonts w:ascii="Arial" w:hAnsi="Arial" w:cs="Arial"/>
        </w:rPr>
        <w:t>day falls on a weeken</w:t>
      </w:r>
      <w:r w:rsidR="00DC4303">
        <w:rPr>
          <w:rFonts w:ascii="Arial" w:hAnsi="Arial" w:cs="Arial"/>
        </w:rPr>
        <w:t>d or court holiday, you may submit your response</w:t>
      </w:r>
      <w:r w:rsidR="007503BA">
        <w:rPr>
          <w:rFonts w:ascii="Arial" w:hAnsi="Arial" w:cs="Arial"/>
        </w:rPr>
        <w:t xml:space="preserve"> on the next business day.</w:t>
      </w:r>
      <w:r w:rsidR="00B34833">
        <w:rPr>
          <w:rFonts w:ascii="Arial" w:hAnsi="Arial" w:cs="Arial"/>
        </w:rPr>
        <w:t xml:space="preserve">  </w:t>
      </w:r>
      <w:r w:rsidR="004A6896">
        <w:rPr>
          <w:rFonts w:ascii="Arial" w:hAnsi="Arial" w:cs="Arial"/>
        </w:rPr>
        <w:t>You must either pay a fee to submit your response or ask the court in writing to waive the fee.  You can find forms for responding to</w:t>
      </w:r>
      <w:r w:rsidR="004A6896" w:rsidRPr="0062708B">
        <w:rPr>
          <w:rFonts w:ascii="Arial" w:hAnsi="Arial" w:cs="Arial"/>
        </w:rPr>
        <w:t xml:space="preserve"> a petition </w:t>
      </w:r>
      <w:r w:rsidR="004A6896">
        <w:rPr>
          <w:rFonts w:ascii="Arial" w:hAnsi="Arial" w:cs="Arial"/>
        </w:rPr>
        <w:t>and waiving court fees at</w:t>
      </w:r>
      <w:r w:rsidR="004A6896" w:rsidRPr="0062708B">
        <w:rPr>
          <w:rFonts w:ascii="Arial" w:hAnsi="Arial" w:cs="Arial"/>
        </w:rPr>
        <w:t xml:space="preserve">: </w:t>
      </w:r>
      <w:hyperlink r:id="rId7" w:history="1">
        <w:r w:rsidR="004A6896" w:rsidRPr="0062708B">
          <w:rPr>
            <w:rStyle w:val="Hyperlink"/>
            <w:rFonts w:ascii="Arial" w:hAnsi="Arial" w:cs="Arial"/>
          </w:rPr>
          <w:t>www.courts.mt.gov</w:t>
        </w:r>
      </w:hyperlink>
      <w:r w:rsidR="004A6896" w:rsidRPr="0062708B">
        <w:rPr>
          <w:rFonts w:ascii="Arial" w:hAnsi="Arial" w:cs="Arial"/>
        </w:rPr>
        <w:t>.</w:t>
      </w:r>
    </w:p>
    <w:p w14:paraId="7D9D935F" w14:textId="77777777" w:rsidR="00AF5C35" w:rsidRDefault="00190A74" w:rsidP="00AF5C35">
      <w:pPr>
        <w:spacing w:line="360" w:lineRule="auto"/>
        <w:ind w:firstLine="720"/>
        <w:jc w:val="both"/>
        <w:rPr>
          <w:rFonts w:ascii="Arial" w:hAnsi="Arial" w:cs="Arial"/>
        </w:rPr>
      </w:pPr>
      <w:r>
        <w:rPr>
          <w:rFonts w:ascii="Arial" w:hAnsi="Arial" w:cs="Arial"/>
        </w:rPr>
        <w:t>I</w:t>
      </w:r>
      <w:r w:rsidR="00B34833">
        <w:rPr>
          <w:rFonts w:ascii="Arial" w:hAnsi="Arial" w:cs="Arial"/>
        </w:rPr>
        <w:t>f you do not submit a response, the court may give Petitioner everything they asked for in the Petition.</w:t>
      </w:r>
    </w:p>
    <w:p w14:paraId="573CE4B6" w14:textId="77777777" w:rsidR="00175072" w:rsidRDefault="00175072" w:rsidP="00AF5C35">
      <w:pPr>
        <w:spacing w:line="360" w:lineRule="auto"/>
        <w:ind w:firstLine="720"/>
        <w:jc w:val="both"/>
        <w:rPr>
          <w:rFonts w:ascii="Arial" w:hAnsi="Arial" w:cs="Arial"/>
        </w:rPr>
      </w:pPr>
    </w:p>
    <w:p w14:paraId="212B9508" w14:textId="12522F19" w:rsidR="008346EB" w:rsidRDefault="00F171B7" w:rsidP="00AF5C35">
      <w:pPr>
        <w:spacing w:line="360" w:lineRule="auto"/>
        <w:rPr>
          <w:rFonts w:ascii="Arial" w:eastAsiaTheme="minorEastAsia" w:hAnsi="Arial" w:cs="Arial"/>
          <w:b/>
          <w:bCs/>
        </w:rPr>
      </w:pPr>
      <w:r w:rsidRPr="00F166A2">
        <w:rPr>
          <w:rFonts w:ascii="Arial" w:eastAsiaTheme="minorEastAsia" w:hAnsi="Arial" w:cs="Arial"/>
          <w:b/>
          <w:bCs/>
        </w:rPr>
        <w:t xml:space="preserve">IMPORTANT: </w:t>
      </w:r>
      <w:r w:rsidR="003C2DDE" w:rsidRPr="00F166A2">
        <w:rPr>
          <w:rFonts w:ascii="Arial" w:eastAsiaTheme="minorEastAsia" w:hAnsi="Arial" w:cs="Arial"/>
          <w:b/>
          <w:bCs/>
        </w:rPr>
        <w:t>A</w:t>
      </w:r>
      <w:r w:rsidR="00524B20">
        <w:rPr>
          <w:rFonts w:ascii="Arial" w:eastAsiaTheme="minorEastAsia" w:hAnsi="Arial" w:cs="Arial"/>
          <w:b/>
          <w:bCs/>
        </w:rPr>
        <w:t>n</w:t>
      </w:r>
      <w:r w:rsidR="003C2DDE" w:rsidRPr="00F166A2">
        <w:rPr>
          <w:rFonts w:ascii="Arial" w:eastAsiaTheme="minorEastAsia" w:hAnsi="Arial" w:cs="Arial"/>
          <w:b/>
          <w:bCs/>
        </w:rPr>
        <w:t xml:space="preserve"> </w:t>
      </w:r>
      <w:r w:rsidR="00524B20">
        <w:rPr>
          <w:rFonts w:ascii="Arial" w:eastAsiaTheme="minorEastAsia" w:hAnsi="Arial" w:cs="Arial"/>
          <w:b/>
          <w:bCs/>
        </w:rPr>
        <w:t>Automatic</w:t>
      </w:r>
      <w:r w:rsidR="00F166A2">
        <w:rPr>
          <w:rFonts w:ascii="Arial" w:eastAsiaTheme="minorEastAsia" w:hAnsi="Arial" w:cs="Arial"/>
          <w:b/>
          <w:bCs/>
        </w:rPr>
        <w:t xml:space="preserve"> Economic Re</w:t>
      </w:r>
      <w:r w:rsidR="00AF5C35" w:rsidRPr="00F166A2">
        <w:rPr>
          <w:rFonts w:ascii="Arial" w:eastAsiaTheme="minorEastAsia" w:hAnsi="Arial" w:cs="Arial"/>
          <w:b/>
          <w:bCs/>
        </w:rPr>
        <w:t>str</w:t>
      </w:r>
      <w:r w:rsidR="00D61DD8">
        <w:rPr>
          <w:rFonts w:ascii="Arial" w:eastAsiaTheme="minorEastAsia" w:hAnsi="Arial" w:cs="Arial"/>
          <w:b/>
          <w:bCs/>
        </w:rPr>
        <w:t>aining Order is in effect.  The</w:t>
      </w:r>
      <w:r w:rsidR="00AF5C35" w:rsidRPr="00F166A2">
        <w:rPr>
          <w:rFonts w:ascii="Arial" w:eastAsiaTheme="minorEastAsia" w:hAnsi="Arial" w:cs="Arial"/>
          <w:b/>
          <w:bCs/>
        </w:rPr>
        <w:t xml:space="preserve"> Order a</w:t>
      </w:r>
      <w:r w:rsidR="00D61DD8">
        <w:rPr>
          <w:rFonts w:ascii="Arial" w:eastAsiaTheme="minorEastAsia" w:hAnsi="Arial" w:cs="Arial"/>
          <w:b/>
          <w:bCs/>
        </w:rPr>
        <w:t>pplies to both the Petitioner and Respondent</w:t>
      </w:r>
      <w:r w:rsidR="00AF5C35" w:rsidRPr="00F166A2">
        <w:rPr>
          <w:rFonts w:ascii="Arial" w:eastAsiaTheme="minorEastAsia" w:hAnsi="Arial" w:cs="Arial"/>
          <w:b/>
          <w:bCs/>
        </w:rPr>
        <w:t xml:space="preserve"> until this lawsuit is over.</w:t>
      </w:r>
      <w:r w:rsidR="009419A6">
        <w:rPr>
          <w:rFonts w:ascii="Arial" w:eastAsiaTheme="minorEastAsia" w:hAnsi="Arial" w:cs="Arial"/>
          <w:b/>
          <w:bCs/>
        </w:rPr>
        <w:t xml:space="preserve">  T</w:t>
      </w:r>
      <w:r w:rsidR="00D61DD8">
        <w:rPr>
          <w:rFonts w:ascii="Arial" w:eastAsiaTheme="minorEastAsia" w:hAnsi="Arial" w:cs="Arial"/>
          <w:b/>
          <w:bCs/>
        </w:rPr>
        <w:t>he</w:t>
      </w:r>
      <w:r w:rsidR="009419A6">
        <w:rPr>
          <w:rFonts w:ascii="Arial" w:eastAsiaTheme="minorEastAsia" w:hAnsi="Arial" w:cs="Arial"/>
          <w:b/>
          <w:bCs/>
        </w:rPr>
        <w:t xml:space="preserve"> O</w:t>
      </w:r>
      <w:r w:rsidR="00D61DD8">
        <w:rPr>
          <w:rFonts w:ascii="Arial" w:eastAsiaTheme="minorEastAsia" w:hAnsi="Arial" w:cs="Arial"/>
          <w:b/>
          <w:bCs/>
        </w:rPr>
        <w:t xml:space="preserve">rder means you can’t sell, give away, </w:t>
      </w:r>
      <w:r w:rsidR="00064BE0">
        <w:rPr>
          <w:rFonts w:ascii="Arial" w:eastAsiaTheme="minorEastAsia" w:hAnsi="Arial" w:cs="Arial"/>
          <w:b/>
          <w:bCs/>
        </w:rPr>
        <w:t xml:space="preserve">borrow against, </w:t>
      </w:r>
      <w:r w:rsidR="00D61DD8">
        <w:rPr>
          <w:rFonts w:ascii="Arial" w:eastAsiaTheme="minorEastAsia" w:hAnsi="Arial" w:cs="Arial"/>
          <w:b/>
          <w:bCs/>
        </w:rPr>
        <w:t>or hide property or money</w:t>
      </w:r>
      <w:r w:rsidR="00B03DBC">
        <w:rPr>
          <w:rFonts w:ascii="Arial" w:eastAsiaTheme="minorEastAsia" w:hAnsi="Arial" w:cs="Arial"/>
          <w:b/>
          <w:bCs/>
        </w:rPr>
        <w:t xml:space="preserve">. </w:t>
      </w:r>
      <w:r w:rsidR="00524B20">
        <w:rPr>
          <w:rFonts w:ascii="Arial" w:eastAsiaTheme="minorEastAsia" w:hAnsi="Arial" w:cs="Arial"/>
          <w:b/>
          <w:bCs/>
        </w:rPr>
        <w:t>T</w:t>
      </w:r>
      <w:r w:rsidR="00B03DBC">
        <w:rPr>
          <w:rFonts w:ascii="Arial" w:eastAsiaTheme="minorEastAsia" w:hAnsi="Arial" w:cs="Arial"/>
          <w:b/>
          <w:bCs/>
        </w:rPr>
        <w:t>here are</w:t>
      </w:r>
      <w:r w:rsidR="00524B20">
        <w:rPr>
          <w:rFonts w:ascii="Arial" w:eastAsiaTheme="minorEastAsia" w:hAnsi="Arial" w:cs="Arial"/>
          <w:b/>
          <w:bCs/>
        </w:rPr>
        <w:t xml:space="preserve"> exceptions</w:t>
      </w:r>
      <w:r w:rsidR="00064BE0">
        <w:rPr>
          <w:rFonts w:ascii="Arial" w:eastAsiaTheme="minorEastAsia" w:hAnsi="Arial" w:cs="Arial"/>
          <w:b/>
          <w:bCs/>
        </w:rPr>
        <w:t xml:space="preserve"> in the Order.  </w:t>
      </w:r>
      <w:r w:rsidR="00B03DBC">
        <w:rPr>
          <w:rFonts w:ascii="Arial" w:eastAsiaTheme="minorEastAsia" w:hAnsi="Arial" w:cs="Arial"/>
          <w:b/>
          <w:bCs/>
        </w:rPr>
        <w:t xml:space="preserve">The Petitioner and Respondent can agree in writing to do something with property or money.  </w:t>
      </w:r>
      <w:r w:rsidR="00064BE0">
        <w:rPr>
          <w:rFonts w:ascii="Arial" w:eastAsiaTheme="minorEastAsia" w:hAnsi="Arial" w:cs="Arial"/>
          <w:b/>
          <w:bCs/>
        </w:rPr>
        <w:t xml:space="preserve">You can </w:t>
      </w:r>
      <w:r w:rsidR="00524B20">
        <w:rPr>
          <w:rFonts w:ascii="Arial" w:eastAsiaTheme="minorEastAsia" w:hAnsi="Arial" w:cs="Arial"/>
          <w:b/>
          <w:bCs/>
        </w:rPr>
        <w:t xml:space="preserve">ask the Court </w:t>
      </w:r>
      <w:r w:rsidR="00B03DBC">
        <w:rPr>
          <w:rFonts w:ascii="Arial" w:eastAsiaTheme="minorEastAsia" w:hAnsi="Arial" w:cs="Arial"/>
          <w:b/>
          <w:bCs/>
        </w:rPr>
        <w:t>to let</w:t>
      </w:r>
      <w:r w:rsidR="00524B20">
        <w:rPr>
          <w:rFonts w:ascii="Arial" w:eastAsiaTheme="minorEastAsia" w:hAnsi="Arial" w:cs="Arial"/>
          <w:b/>
          <w:bCs/>
        </w:rPr>
        <w:t xml:space="preserve"> you</w:t>
      </w:r>
      <w:r w:rsidR="00B03DBC">
        <w:rPr>
          <w:rFonts w:ascii="Arial" w:eastAsiaTheme="minorEastAsia" w:hAnsi="Arial" w:cs="Arial"/>
          <w:b/>
          <w:bCs/>
        </w:rPr>
        <w:t xml:space="preserve"> do something with property or money</w:t>
      </w:r>
      <w:r w:rsidR="00524B20">
        <w:rPr>
          <w:rFonts w:ascii="Arial" w:eastAsiaTheme="minorEastAsia" w:hAnsi="Arial" w:cs="Arial"/>
          <w:b/>
          <w:bCs/>
        </w:rPr>
        <w:t>.</w:t>
      </w:r>
      <w:r w:rsidR="00D61DD8">
        <w:rPr>
          <w:rFonts w:ascii="Arial" w:eastAsiaTheme="minorEastAsia" w:hAnsi="Arial" w:cs="Arial"/>
          <w:b/>
          <w:bCs/>
        </w:rPr>
        <w:t xml:space="preserve"> </w:t>
      </w:r>
      <w:r w:rsidR="00524B20">
        <w:rPr>
          <w:rFonts w:ascii="Arial" w:eastAsiaTheme="minorEastAsia" w:hAnsi="Arial" w:cs="Arial"/>
          <w:b/>
          <w:bCs/>
        </w:rPr>
        <w:t xml:space="preserve"> </w:t>
      </w:r>
      <w:r w:rsidR="00D61DD8">
        <w:rPr>
          <w:rFonts w:ascii="Arial" w:eastAsiaTheme="minorEastAsia" w:hAnsi="Arial" w:cs="Arial"/>
          <w:b/>
          <w:bCs/>
        </w:rPr>
        <w:t>The Order tells you how</w:t>
      </w:r>
      <w:r w:rsidR="00E62974">
        <w:rPr>
          <w:rFonts w:ascii="Arial" w:eastAsiaTheme="minorEastAsia" w:hAnsi="Arial" w:cs="Arial"/>
          <w:b/>
          <w:bCs/>
        </w:rPr>
        <w:t xml:space="preserve"> to ask </w:t>
      </w:r>
      <w:r w:rsidR="00064BE0">
        <w:rPr>
          <w:rFonts w:ascii="Arial" w:eastAsiaTheme="minorEastAsia" w:hAnsi="Arial" w:cs="Arial"/>
          <w:b/>
          <w:bCs/>
        </w:rPr>
        <w:t>th</w:t>
      </w:r>
      <w:r w:rsidR="00B03DBC">
        <w:rPr>
          <w:rFonts w:ascii="Arial" w:eastAsiaTheme="minorEastAsia" w:hAnsi="Arial" w:cs="Arial"/>
          <w:b/>
          <w:bCs/>
        </w:rPr>
        <w:t>e C</w:t>
      </w:r>
      <w:r w:rsidR="00064BE0">
        <w:rPr>
          <w:rFonts w:ascii="Arial" w:eastAsiaTheme="minorEastAsia" w:hAnsi="Arial" w:cs="Arial"/>
          <w:b/>
          <w:bCs/>
        </w:rPr>
        <w:t>ourt to let you do something with</w:t>
      </w:r>
      <w:r w:rsidR="00D61DD8">
        <w:rPr>
          <w:rFonts w:ascii="Arial" w:eastAsiaTheme="minorEastAsia" w:hAnsi="Arial" w:cs="Arial"/>
          <w:b/>
          <w:bCs/>
        </w:rPr>
        <w:t xml:space="preserve"> property or money.</w:t>
      </w:r>
      <w:r w:rsidR="00927F08">
        <w:rPr>
          <w:rFonts w:ascii="Arial" w:eastAsiaTheme="minorEastAsia" w:hAnsi="Arial" w:cs="Arial"/>
          <w:b/>
          <w:bCs/>
        </w:rPr>
        <w:t xml:space="preserve">  If you don’t follow the</w:t>
      </w:r>
      <w:r w:rsidR="00064BE0">
        <w:rPr>
          <w:rFonts w:ascii="Arial" w:eastAsiaTheme="minorEastAsia" w:hAnsi="Arial" w:cs="Arial"/>
          <w:b/>
          <w:bCs/>
        </w:rPr>
        <w:t xml:space="preserve"> O</w:t>
      </w:r>
      <w:r w:rsidR="00927F08">
        <w:rPr>
          <w:rFonts w:ascii="Arial" w:eastAsiaTheme="minorEastAsia" w:hAnsi="Arial" w:cs="Arial"/>
          <w:b/>
          <w:bCs/>
        </w:rPr>
        <w:t>rder the Court ca</w:t>
      </w:r>
      <w:r w:rsidR="00524B20">
        <w:rPr>
          <w:rFonts w:ascii="Arial" w:eastAsiaTheme="minorEastAsia" w:hAnsi="Arial" w:cs="Arial"/>
          <w:b/>
          <w:bCs/>
        </w:rPr>
        <w:t>n give you a penalty</w:t>
      </w:r>
      <w:r w:rsidR="00927F08">
        <w:rPr>
          <w:rFonts w:ascii="Arial" w:eastAsiaTheme="minorEastAsia" w:hAnsi="Arial" w:cs="Arial"/>
          <w:b/>
          <w:bCs/>
        </w:rPr>
        <w:t>.</w:t>
      </w:r>
      <w:r w:rsidR="00E62974">
        <w:rPr>
          <w:rFonts w:ascii="Arial" w:eastAsiaTheme="minorEastAsia" w:hAnsi="Arial" w:cs="Arial"/>
          <w:b/>
          <w:bCs/>
        </w:rPr>
        <w:t xml:space="preserve">  Please read the Order carefully</w:t>
      </w:r>
      <w:r w:rsidR="00524B20">
        <w:rPr>
          <w:rFonts w:ascii="Arial" w:eastAsiaTheme="minorEastAsia" w:hAnsi="Arial" w:cs="Arial"/>
          <w:b/>
          <w:bCs/>
        </w:rPr>
        <w:t>.  If you have questions you should talk to an attorney.</w:t>
      </w:r>
    </w:p>
    <w:p w14:paraId="20010E94" w14:textId="77777777" w:rsidR="008346EB" w:rsidRDefault="008346EB" w:rsidP="008346EB">
      <w:pPr>
        <w:pStyle w:val="Default"/>
      </w:pPr>
    </w:p>
    <w:p w14:paraId="6398FFDB" w14:textId="77777777" w:rsidR="008346EB" w:rsidRDefault="008346EB" w:rsidP="008346EB">
      <w:pPr>
        <w:pStyle w:val="Default"/>
        <w:jc w:val="center"/>
        <w:rPr>
          <w:b/>
        </w:rPr>
      </w:pPr>
      <w:r w:rsidRPr="008346EB">
        <w:rPr>
          <w:b/>
        </w:rPr>
        <w:t>AUTOMATIC ECONOMIC RESTRAINING ORDER</w:t>
      </w:r>
    </w:p>
    <w:p w14:paraId="7F9C6852" w14:textId="77777777" w:rsidR="008346EB" w:rsidRPr="008346EB" w:rsidRDefault="008346EB" w:rsidP="008346EB">
      <w:pPr>
        <w:pStyle w:val="Default"/>
        <w:jc w:val="center"/>
        <w:rPr>
          <w:b/>
        </w:rPr>
      </w:pPr>
    </w:p>
    <w:p w14:paraId="74B48720" w14:textId="75E59943" w:rsidR="008346EB" w:rsidRDefault="00D61DD8" w:rsidP="003E484E">
      <w:pPr>
        <w:pStyle w:val="Default"/>
        <w:spacing w:line="360" w:lineRule="auto"/>
      </w:pPr>
      <w:r>
        <w:t>It is hereby O</w:t>
      </w:r>
      <w:r w:rsidR="008346EB" w:rsidRPr="008346EB">
        <w:t xml:space="preserve">rdered: </w:t>
      </w:r>
    </w:p>
    <w:p w14:paraId="04358E9D" w14:textId="77777777" w:rsidR="00B03DBC" w:rsidRPr="008346EB" w:rsidRDefault="00B03DBC" w:rsidP="003E484E">
      <w:pPr>
        <w:pStyle w:val="Default"/>
        <w:spacing w:line="360" w:lineRule="auto"/>
      </w:pPr>
    </w:p>
    <w:p w14:paraId="4CB0D9C0" w14:textId="77777777" w:rsidR="008346EB" w:rsidRPr="008346EB" w:rsidRDefault="008346EB" w:rsidP="003E484E">
      <w:pPr>
        <w:pStyle w:val="Default"/>
        <w:spacing w:line="360" w:lineRule="auto"/>
      </w:pPr>
      <w:r w:rsidRPr="008346EB">
        <w:t xml:space="preserve">(1) The parties are restrained from transferring, encumbering, concealing, or in any way disposing of, without the written consent of the other party or an order of the court, any marital property, except: </w:t>
      </w:r>
    </w:p>
    <w:p w14:paraId="379E6FCB" w14:textId="77777777" w:rsidR="008346EB" w:rsidRPr="008346EB" w:rsidRDefault="008346EB" w:rsidP="003E484E">
      <w:pPr>
        <w:pStyle w:val="Default"/>
        <w:spacing w:line="360" w:lineRule="auto"/>
        <w:ind w:left="720"/>
      </w:pPr>
      <w:r w:rsidRPr="008346EB">
        <w:t xml:space="preserve">(a) for expenses necessary to reasonably maintain the marital standard of living or for the necessities of life, such as food, clothing, shelter, necessary health care expenses, transportation to and from work, and child care, taking into consideration additional living expenses arising out of a party obtaining a second household and current available income; </w:t>
      </w:r>
    </w:p>
    <w:p w14:paraId="54339ECE" w14:textId="77777777" w:rsidR="008346EB" w:rsidRPr="008346EB" w:rsidRDefault="008346EB" w:rsidP="003E484E">
      <w:pPr>
        <w:pStyle w:val="Default"/>
        <w:spacing w:line="360" w:lineRule="auto"/>
        <w:ind w:firstLine="720"/>
      </w:pPr>
      <w:r w:rsidRPr="008346EB">
        <w:t xml:space="preserve">(b) in the customary and usual course of operating an existing business; or </w:t>
      </w:r>
    </w:p>
    <w:p w14:paraId="5B60196E" w14:textId="77777777" w:rsidR="008346EB" w:rsidRDefault="008346EB" w:rsidP="003E484E">
      <w:pPr>
        <w:pStyle w:val="Default"/>
        <w:spacing w:line="360" w:lineRule="auto"/>
        <w:ind w:left="720"/>
      </w:pPr>
      <w:r w:rsidRPr="008346EB">
        <w:t xml:space="preserve">(c) for the purpose of paying a reasonable amount for professional fees and costs relating to a proceeding under Title 40, chapter 1, part 4, Title 40, chapter 4, or Title 40, chapter 15. </w:t>
      </w:r>
    </w:p>
    <w:p w14:paraId="10BC6D93" w14:textId="77777777" w:rsidR="008346EB" w:rsidRPr="008346EB" w:rsidRDefault="008346EB" w:rsidP="003E484E">
      <w:pPr>
        <w:pStyle w:val="Default"/>
        <w:spacing w:line="360" w:lineRule="auto"/>
        <w:ind w:left="720"/>
      </w:pPr>
    </w:p>
    <w:p w14:paraId="27C4675C" w14:textId="77777777" w:rsidR="008346EB" w:rsidRPr="008346EB" w:rsidRDefault="008346EB" w:rsidP="003E484E">
      <w:pPr>
        <w:pStyle w:val="Default"/>
        <w:spacing w:line="360" w:lineRule="auto"/>
        <w:rPr>
          <w:color w:val="auto"/>
        </w:rPr>
      </w:pPr>
      <w:r w:rsidRPr="008346EB">
        <w:t xml:space="preserve">(2) Each party shall file a notice with the court of any proposed extraordinary expenditure, proposed revocation of a </w:t>
      </w:r>
      <w:proofErr w:type="spellStart"/>
      <w:r w:rsidRPr="008346EB">
        <w:t>nonprobate</w:t>
      </w:r>
      <w:proofErr w:type="spellEnd"/>
      <w:r w:rsidRPr="008346EB">
        <w:t xml:space="preserve"> transfer, or proposed elimination of a right of survivorship to property at least 14 </w:t>
      </w:r>
      <w:r w:rsidRPr="008346EB">
        <w:rPr>
          <w:color w:val="auto"/>
        </w:rPr>
        <w:t xml:space="preserve">days before the action is taken. </w:t>
      </w:r>
    </w:p>
    <w:p w14:paraId="34BE0EC9" w14:textId="77777777" w:rsidR="008346EB" w:rsidRPr="008346EB" w:rsidRDefault="008346EB" w:rsidP="003E484E">
      <w:pPr>
        <w:pStyle w:val="Default"/>
        <w:spacing w:line="360" w:lineRule="auto"/>
        <w:ind w:firstLine="720"/>
        <w:rPr>
          <w:color w:val="auto"/>
        </w:rPr>
      </w:pPr>
      <w:r w:rsidRPr="008346EB">
        <w:rPr>
          <w:color w:val="auto"/>
        </w:rPr>
        <w:t xml:space="preserve">(a) The notice must include: </w:t>
      </w:r>
    </w:p>
    <w:p w14:paraId="7A4A111A" w14:textId="77777777" w:rsidR="008346EB" w:rsidRPr="008346EB" w:rsidRDefault="008346EB" w:rsidP="003E484E">
      <w:pPr>
        <w:pStyle w:val="Default"/>
        <w:spacing w:line="360" w:lineRule="auto"/>
        <w:ind w:left="720" w:firstLine="720"/>
        <w:rPr>
          <w:color w:val="auto"/>
        </w:rPr>
      </w:pPr>
      <w:r w:rsidRPr="008346EB">
        <w:rPr>
          <w:color w:val="auto"/>
        </w:rPr>
        <w:t>(</w:t>
      </w:r>
      <w:proofErr w:type="spellStart"/>
      <w:r w:rsidRPr="008346EB">
        <w:rPr>
          <w:color w:val="auto"/>
        </w:rPr>
        <w:t>i</w:t>
      </w:r>
      <w:proofErr w:type="spellEnd"/>
      <w:r w:rsidRPr="008346EB">
        <w:rPr>
          <w:color w:val="auto"/>
        </w:rPr>
        <w:t xml:space="preserve">) the proposed action and when the action </w:t>
      </w:r>
      <w:proofErr w:type="gramStart"/>
      <w:r w:rsidRPr="008346EB">
        <w:rPr>
          <w:color w:val="auto"/>
        </w:rPr>
        <w:t>is</w:t>
      </w:r>
      <w:proofErr w:type="gramEnd"/>
      <w:r w:rsidRPr="008346EB">
        <w:rPr>
          <w:color w:val="auto"/>
        </w:rPr>
        <w:t xml:space="preserve"> intended to occur; </w:t>
      </w:r>
    </w:p>
    <w:p w14:paraId="067F1BB8" w14:textId="77777777" w:rsidR="008346EB" w:rsidRPr="008346EB" w:rsidRDefault="008346EB" w:rsidP="003E484E">
      <w:pPr>
        <w:pStyle w:val="Default"/>
        <w:spacing w:line="360" w:lineRule="auto"/>
        <w:ind w:left="720" w:firstLine="720"/>
        <w:rPr>
          <w:color w:val="auto"/>
        </w:rPr>
      </w:pPr>
      <w:r w:rsidRPr="008346EB">
        <w:rPr>
          <w:color w:val="auto"/>
        </w:rPr>
        <w:t xml:space="preserve">(ii) how the proposed action may impact the marital estate; and </w:t>
      </w:r>
    </w:p>
    <w:p w14:paraId="55570C54" w14:textId="77777777" w:rsidR="008346EB" w:rsidRPr="008346EB" w:rsidRDefault="008346EB" w:rsidP="003E484E">
      <w:pPr>
        <w:pStyle w:val="Default"/>
        <w:spacing w:line="360" w:lineRule="auto"/>
        <w:ind w:left="720" w:firstLine="720"/>
        <w:rPr>
          <w:color w:val="auto"/>
        </w:rPr>
      </w:pPr>
      <w:r w:rsidRPr="008346EB">
        <w:rPr>
          <w:color w:val="auto"/>
        </w:rPr>
        <w:t xml:space="preserve">(iii) why the proposed action is necessary at that time. </w:t>
      </w:r>
    </w:p>
    <w:p w14:paraId="0780CBFC" w14:textId="77777777" w:rsidR="008346EB" w:rsidRPr="008346EB" w:rsidRDefault="008346EB" w:rsidP="003E484E">
      <w:pPr>
        <w:pStyle w:val="Default"/>
        <w:spacing w:line="360" w:lineRule="auto"/>
        <w:ind w:left="720"/>
        <w:rPr>
          <w:color w:val="auto"/>
        </w:rPr>
      </w:pPr>
      <w:r w:rsidRPr="008346EB">
        <w:rPr>
          <w:color w:val="auto"/>
        </w:rPr>
        <w:t xml:space="preserve">(b) The notice is not sufficient unless the notice contains the following statement: "The moving party's proposed action will be permitted without further proceedings or order of the court unless within 14 days of the date of filing of the notice you file with the court and serve on all persons entitled to notice a response objecting to the proposed action, which states the reasons for your objection." </w:t>
      </w:r>
    </w:p>
    <w:p w14:paraId="731E3160" w14:textId="77777777" w:rsidR="008346EB" w:rsidRPr="008346EB" w:rsidRDefault="008346EB" w:rsidP="003E484E">
      <w:pPr>
        <w:pStyle w:val="Default"/>
        <w:spacing w:line="360" w:lineRule="auto"/>
        <w:ind w:left="720"/>
        <w:rPr>
          <w:color w:val="auto"/>
        </w:rPr>
      </w:pPr>
      <w:r w:rsidRPr="008346EB">
        <w:rPr>
          <w:color w:val="auto"/>
        </w:rPr>
        <w:t xml:space="preserve">(c) If the other party files an objection to the proposed action before the expiration of the 14-day period, the party proposing to take the action is </w:t>
      </w:r>
      <w:r w:rsidRPr="008346EB">
        <w:rPr>
          <w:color w:val="auto"/>
        </w:rPr>
        <w:lastRenderedPageBreak/>
        <w:t xml:space="preserve">prohibited from taking the proposed action until the court rules on the proposed action. </w:t>
      </w:r>
    </w:p>
    <w:p w14:paraId="68591DDE" w14:textId="77777777" w:rsidR="008346EB" w:rsidRPr="008346EB" w:rsidRDefault="008346EB" w:rsidP="003E484E">
      <w:pPr>
        <w:pStyle w:val="Default"/>
        <w:spacing w:line="360" w:lineRule="auto"/>
        <w:ind w:left="720"/>
        <w:rPr>
          <w:color w:val="auto"/>
        </w:rPr>
      </w:pPr>
      <w:r w:rsidRPr="008346EB">
        <w:rPr>
          <w:color w:val="auto"/>
        </w:rPr>
        <w:t xml:space="preserve">(d) The burden of justifying the proposed action is on the party proposing the action. The court may award reasonable attorney fees if a party makes an unreasonable request for or an unreasonable objection to the proposed action. </w:t>
      </w:r>
    </w:p>
    <w:p w14:paraId="3DDBC05D" w14:textId="77777777" w:rsidR="008346EB" w:rsidRDefault="008346EB" w:rsidP="003E484E">
      <w:pPr>
        <w:pStyle w:val="Default"/>
        <w:spacing w:line="360" w:lineRule="auto"/>
        <w:ind w:left="720"/>
        <w:rPr>
          <w:color w:val="auto"/>
        </w:rPr>
      </w:pPr>
      <w:r w:rsidRPr="008346EB">
        <w:rPr>
          <w:color w:val="auto"/>
        </w:rPr>
        <w:t>(e) A "</w:t>
      </w:r>
      <w:proofErr w:type="spellStart"/>
      <w:r w:rsidRPr="008346EB">
        <w:rPr>
          <w:color w:val="auto"/>
        </w:rPr>
        <w:t>nonprobate</w:t>
      </w:r>
      <w:proofErr w:type="spellEnd"/>
      <w:r w:rsidRPr="008346EB">
        <w:rPr>
          <w:color w:val="auto"/>
        </w:rPr>
        <w:t xml:space="preserve"> transfer" means an instrument, other than a will, that makes a transfer of property on death, including a revocable trust, a pay-on-death account in a financial institution, a transfer on death registration of personal property, or a revocable transfer on death deed. </w:t>
      </w:r>
    </w:p>
    <w:p w14:paraId="326F8D26" w14:textId="77777777" w:rsidR="008346EB" w:rsidRPr="008346EB" w:rsidRDefault="008346EB" w:rsidP="003E484E">
      <w:pPr>
        <w:pStyle w:val="Default"/>
        <w:spacing w:line="360" w:lineRule="auto"/>
        <w:ind w:left="720"/>
        <w:rPr>
          <w:color w:val="auto"/>
        </w:rPr>
      </w:pPr>
    </w:p>
    <w:p w14:paraId="7C86AAB7" w14:textId="77777777" w:rsidR="008346EB" w:rsidRPr="008346EB" w:rsidRDefault="008346EB" w:rsidP="003E484E">
      <w:pPr>
        <w:pStyle w:val="Default"/>
        <w:spacing w:line="360" w:lineRule="auto"/>
        <w:rPr>
          <w:color w:val="auto"/>
        </w:rPr>
      </w:pPr>
      <w:r w:rsidRPr="008346EB">
        <w:rPr>
          <w:color w:val="auto"/>
        </w:rPr>
        <w:t xml:space="preserve">(3) The parties are restrained from: </w:t>
      </w:r>
    </w:p>
    <w:p w14:paraId="55502C5C" w14:textId="77777777" w:rsidR="008346EB" w:rsidRPr="008346EB" w:rsidRDefault="008346EB" w:rsidP="003E484E">
      <w:pPr>
        <w:pStyle w:val="Default"/>
        <w:spacing w:line="360" w:lineRule="auto"/>
        <w:ind w:left="720"/>
        <w:rPr>
          <w:color w:val="auto"/>
        </w:rPr>
      </w:pPr>
      <w:r w:rsidRPr="008346EB">
        <w:rPr>
          <w:color w:val="auto"/>
        </w:rPr>
        <w:t xml:space="preserve">(a) canceling jointly held credit cards or terminating signatory authority of the other party on a credit </w:t>
      </w:r>
      <w:proofErr w:type="gramStart"/>
      <w:r w:rsidRPr="008346EB">
        <w:rPr>
          <w:color w:val="auto"/>
        </w:rPr>
        <w:t>card;</w:t>
      </w:r>
      <w:proofErr w:type="gramEnd"/>
      <w:r w:rsidRPr="008346EB">
        <w:rPr>
          <w:color w:val="auto"/>
        </w:rPr>
        <w:t xml:space="preserve"> </w:t>
      </w:r>
    </w:p>
    <w:p w14:paraId="7FC2A540" w14:textId="77777777" w:rsidR="008346EB" w:rsidRPr="008346EB" w:rsidRDefault="008346EB" w:rsidP="003E484E">
      <w:pPr>
        <w:pStyle w:val="Default"/>
        <w:spacing w:line="360" w:lineRule="auto"/>
        <w:ind w:left="720"/>
        <w:rPr>
          <w:color w:val="auto"/>
        </w:rPr>
      </w:pPr>
      <w:r w:rsidRPr="008346EB">
        <w:rPr>
          <w:color w:val="auto"/>
        </w:rPr>
        <w:t xml:space="preserve">(b) incurring unreasonable debt, including but not limited to further borrowing against any credit line secured by the family residence, further </w:t>
      </w:r>
      <w:proofErr w:type="spellStart"/>
      <w:r w:rsidRPr="008346EB">
        <w:rPr>
          <w:color w:val="auto"/>
        </w:rPr>
        <w:t>encumbrancing</w:t>
      </w:r>
      <w:proofErr w:type="spellEnd"/>
      <w:r w:rsidRPr="008346EB">
        <w:rPr>
          <w:color w:val="auto"/>
        </w:rPr>
        <w:t xml:space="preserve"> of any assets, or unreasonably using credit cards or cash advances against credit cards, except as provided for in subsections (1)(a) through (1)(c) or subsection (2); </w:t>
      </w:r>
    </w:p>
    <w:p w14:paraId="694A94AA" w14:textId="77777777" w:rsidR="008346EB" w:rsidRPr="008346EB" w:rsidRDefault="008346EB" w:rsidP="003E484E">
      <w:pPr>
        <w:pStyle w:val="Default"/>
        <w:spacing w:line="360" w:lineRule="auto"/>
        <w:ind w:left="720"/>
        <w:rPr>
          <w:color w:val="auto"/>
        </w:rPr>
      </w:pPr>
      <w:r w:rsidRPr="008346EB">
        <w:rPr>
          <w:color w:val="auto"/>
        </w:rPr>
        <w:t xml:space="preserve">(c) except as allowed by subsections (1)(a) through (1)(c) or subsection (2), making any withdrawal for any purpose or borrowing from any deferred compensation, retirement, profit-sharing, pension, death, or other employee benefit plan or employee savings plan or from any individual retirement account or Keogh account; </w:t>
      </w:r>
    </w:p>
    <w:p w14:paraId="6D3626E1" w14:textId="77777777" w:rsidR="008346EB" w:rsidRPr="008346EB" w:rsidRDefault="008346EB" w:rsidP="003E484E">
      <w:pPr>
        <w:pStyle w:val="Default"/>
        <w:spacing w:line="360" w:lineRule="auto"/>
        <w:ind w:left="720"/>
        <w:rPr>
          <w:color w:val="auto"/>
        </w:rPr>
      </w:pPr>
      <w:r w:rsidRPr="008346EB">
        <w:rPr>
          <w:color w:val="auto"/>
        </w:rPr>
        <w:t xml:space="preserve">(d) except as allowed by subsections (1)(a) through (1)(c) or subsection (2), withdrawing or borrowing in any manner all or any part of the cash surrender value of any life insurance policies on either party or any of their children; </w:t>
      </w:r>
    </w:p>
    <w:p w14:paraId="517E7FDF" w14:textId="77777777" w:rsidR="008346EB" w:rsidRPr="008346EB" w:rsidRDefault="008346EB" w:rsidP="003E484E">
      <w:pPr>
        <w:pStyle w:val="Default"/>
        <w:spacing w:line="360" w:lineRule="auto"/>
        <w:ind w:left="720"/>
        <w:rPr>
          <w:color w:val="auto"/>
        </w:rPr>
      </w:pPr>
      <w:r w:rsidRPr="008346EB">
        <w:rPr>
          <w:color w:val="auto"/>
        </w:rPr>
        <w:t xml:space="preserve">(e) changing or in any manner altering the beneficiary designation on any life insurance policies on either party or their children or changing or in any manner altering the beneficiary on any other account or </w:t>
      </w:r>
      <w:proofErr w:type="gramStart"/>
      <w:r w:rsidRPr="008346EB">
        <w:rPr>
          <w:color w:val="auto"/>
        </w:rPr>
        <w:t>asset;</w:t>
      </w:r>
      <w:proofErr w:type="gramEnd"/>
      <w:r w:rsidRPr="008346EB">
        <w:rPr>
          <w:color w:val="auto"/>
        </w:rPr>
        <w:t xml:space="preserve"> </w:t>
      </w:r>
    </w:p>
    <w:p w14:paraId="7CFC6AD8" w14:textId="77777777" w:rsidR="008346EB" w:rsidRPr="008346EB" w:rsidRDefault="008346EB" w:rsidP="003E484E">
      <w:pPr>
        <w:pStyle w:val="Default"/>
        <w:spacing w:line="360" w:lineRule="auto"/>
        <w:ind w:left="720"/>
        <w:rPr>
          <w:color w:val="auto"/>
        </w:rPr>
      </w:pPr>
      <w:r w:rsidRPr="008346EB">
        <w:rPr>
          <w:color w:val="auto"/>
        </w:rPr>
        <w:t xml:space="preserve">(f) canceling, altering, or allowing to lapse any existing property, life, automobile, or health insurance policies insuring the parties' or children's property or persons; </w:t>
      </w:r>
    </w:p>
    <w:p w14:paraId="7A9BE2B1" w14:textId="77777777" w:rsidR="008346EB" w:rsidRPr="008346EB" w:rsidRDefault="008346EB" w:rsidP="003E484E">
      <w:pPr>
        <w:pStyle w:val="Default"/>
        <w:spacing w:line="360" w:lineRule="auto"/>
        <w:ind w:left="720"/>
        <w:rPr>
          <w:color w:val="auto"/>
        </w:rPr>
      </w:pPr>
      <w:r w:rsidRPr="008346EB">
        <w:rPr>
          <w:color w:val="auto"/>
        </w:rPr>
        <w:lastRenderedPageBreak/>
        <w:t xml:space="preserve">(g) negotiating any instrument, check, draft, income tax refund, insurance payment, or dividends payable jointly to the parties or individually to the other party without the personal signature or prior written consent of the other </w:t>
      </w:r>
      <w:proofErr w:type="gramStart"/>
      <w:r w:rsidRPr="008346EB">
        <w:rPr>
          <w:color w:val="auto"/>
        </w:rPr>
        <w:t>party;</w:t>
      </w:r>
      <w:proofErr w:type="gramEnd"/>
      <w:r w:rsidRPr="008346EB">
        <w:rPr>
          <w:color w:val="auto"/>
        </w:rPr>
        <w:t xml:space="preserve"> </w:t>
      </w:r>
    </w:p>
    <w:p w14:paraId="495494D0" w14:textId="77777777" w:rsidR="008346EB" w:rsidRPr="008346EB" w:rsidRDefault="008346EB" w:rsidP="003E484E">
      <w:pPr>
        <w:pStyle w:val="Default"/>
        <w:spacing w:line="360" w:lineRule="auto"/>
        <w:ind w:left="720"/>
        <w:rPr>
          <w:color w:val="auto"/>
        </w:rPr>
      </w:pPr>
      <w:r w:rsidRPr="008346EB">
        <w:rPr>
          <w:color w:val="auto"/>
        </w:rPr>
        <w:t xml:space="preserve">(h) opening, diverting, or withholding mail, e-mail, or other electronic communications addressed to the other party, except a party may open mail, e-mail, or other electronic communications addressed to both parties or submit a notice of change of the party's individual mail, e-mail, or other electronic address; and </w:t>
      </w:r>
    </w:p>
    <w:p w14:paraId="4CDDDAC9" w14:textId="77777777" w:rsidR="008346EB" w:rsidRDefault="008346EB" w:rsidP="003E484E">
      <w:pPr>
        <w:pStyle w:val="Default"/>
        <w:spacing w:line="360" w:lineRule="auto"/>
        <w:ind w:left="720"/>
        <w:rPr>
          <w:color w:val="auto"/>
        </w:rPr>
      </w:pPr>
      <w:r w:rsidRPr="008346EB">
        <w:rPr>
          <w:color w:val="auto"/>
        </w:rPr>
        <w:t>(</w:t>
      </w:r>
      <w:proofErr w:type="spellStart"/>
      <w:r w:rsidRPr="008346EB">
        <w:rPr>
          <w:color w:val="auto"/>
        </w:rPr>
        <w:t>i</w:t>
      </w:r>
      <w:proofErr w:type="spellEnd"/>
      <w:r w:rsidRPr="008346EB">
        <w:rPr>
          <w:color w:val="auto"/>
        </w:rPr>
        <w:t xml:space="preserve">) without objectively reasonable justification, intentionally or knowingly damaging or destroying the property of the parties or of either party during the pendency of this action, specifically including but not limited to any electronically stored materials, electronic communications, or financial records, without order of the court or written consent of the other party. </w:t>
      </w:r>
    </w:p>
    <w:p w14:paraId="761F2815" w14:textId="77777777" w:rsidR="008346EB" w:rsidRPr="008346EB" w:rsidRDefault="008346EB" w:rsidP="003E484E">
      <w:pPr>
        <w:pStyle w:val="Default"/>
        <w:spacing w:line="360" w:lineRule="auto"/>
        <w:ind w:left="720"/>
        <w:rPr>
          <w:color w:val="auto"/>
        </w:rPr>
      </w:pPr>
    </w:p>
    <w:p w14:paraId="2451B061" w14:textId="77777777" w:rsidR="008346EB" w:rsidRPr="008346EB" w:rsidRDefault="008346EB" w:rsidP="003E484E">
      <w:pPr>
        <w:pStyle w:val="Default"/>
        <w:spacing w:line="360" w:lineRule="auto"/>
        <w:rPr>
          <w:color w:val="auto"/>
        </w:rPr>
      </w:pPr>
      <w:r w:rsidRPr="008346EB">
        <w:rPr>
          <w:color w:val="auto"/>
        </w:rPr>
        <w:t xml:space="preserve">(4) Unless otherwise ordered by the court, a party is not restrained from: </w:t>
      </w:r>
    </w:p>
    <w:p w14:paraId="6CE851BA" w14:textId="77777777" w:rsidR="008346EB" w:rsidRPr="008346EB" w:rsidRDefault="008346EB" w:rsidP="003E484E">
      <w:pPr>
        <w:pStyle w:val="Default"/>
        <w:spacing w:line="360" w:lineRule="auto"/>
        <w:ind w:firstLine="720"/>
        <w:rPr>
          <w:color w:val="auto"/>
        </w:rPr>
      </w:pPr>
      <w:r w:rsidRPr="008346EB">
        <w:rPr>
          <w:color w:val="auto"/>
        </w:rPr>
        <w:t xml:space="preserve">(a) creating, modifying, or revoking a </w:t>
      </w:r>
      <w:proofErr w:type="gramStart"/>
      <w:r w:rsidRPr="008346EB">
        <w:rPr>
          <w:color w:val="auto"/>
        </w:rPr>
        <w:t>will;</w:t>
      </w:r>
      <w:proofErr w:type="gramEnd"/>
      <w:r w:rsidRPr="008346EB">
        <w:rPr>
          <w:color w:val="auto"/>
        </w:rPr>
        <w:t xml:space="preserve"> </w:t>
      </w:r>
    </w:p>
    <w:p w14:paraId="27943A44" w14:textId="77777777" w:rsidR="008346EB" w:rsidRPr="008346EB" w:rsidRDefault="008346EB" w:rsidP="003E484E">
      <w:pPr>
        <w:pStyle w:val="Default"/>
        <w:spacing w:line="360" w:lineRule="auto"/>
        <w:ind w:firstLine="720"/>
        <w:rPr>
          <w:color w:val="auto"/>
        </w:rPr>
      </w:pPr>
      <w:r w:rsidRPr="008346EB">
        <w:rPr>
          <w:color w:val="auto"/>
        </w:rPr>
        <w:t xml:space="preserve">(b) revoking or changing a power of attorney; or </w:t>
      </w:r>
    </w:p>
    <w:p w14:paraId="7C8C198B" w14:textId="77777777" w:rsidR="008346EB" w:rsidRDefault="008346EB" w:rsidP="003E484E">
      <w:pPr>
        <w:pStyle w:val="Default"/>
        <w:spacing w:line="360" w:lineRule="auto"/>
        <w:ind w:firstLine="720"/>
        <w:rPr>
          <w:color w:val="auto"/>
        </w:rPr>
      </w:pPr>
      <w:r w:rsidRPr="008346EB">
        <w:rPr>
          <w:color w:val="auto"/>
        </w:rPr>
        <w:t xml:space="preserve">(c) creating an unfunded revocable or irrevocable trust. </w:t>
      </w:r>
    </w:p>
    <w:p w14:paraId="25BCD758" w14:textId="77777777" w:rsidR="008346EB" w:rsidRPr="008346EB" w:rsidRDefault="008346EB" w:rsidP="003E484E">
      <w:pPr>
        <w:pStyle w:val="Default"/>
        <w:spacing w:line="360" w:lineRule="auto"/>
        <w:ind w:firstLine="720"/>
        <w:rPr>
          <w:color w:val="auto"/>
        </w:rPr>
      </w:pPr>
    </w:p>
    <w:p w14:paraId="589E0988" w14:textId="77777777" w:rsidR="008346EB" w:rsidRDefault="008346EB" w:rsidP="003E484E">
      <w:pPr>
        <w:pStyle w:val="Default"/>
        <w:spacing w:line="360" w:lineRule="auto"/>
        <w:rPr>
          <w:color w:val="auto"/>
        </w:rPr>
      </w:pPr>
      <w:r w:rsidRPr="008346EB">
        <w:rPr>
          <w:color w:val="auto"/>
        </w:rPr>
        <w:t xml:space="preserve">(5) This order does not adversely affect the rights, title, or interest of a purchaser, encumbrancer, or lessee for value if the purchaser, encumbrancer, or lessee does not have actual knowledge of this order. </w:t>
      </w:r>
    </w:p>
    <w:p w14:paraId="41E099F2" w14:textId="77777777" w:rsidR="008346EB" w:rsidRPr="008346EB" w:rsidRDefault="008346EB" w:rsidP="003E484E">
      <w:pPr>
        <w:pStyle w:val="Default"/>
        <w:spacing w:line="360" w:lineRule="auto"/>
        <w:rPr>
          <w:color w:val="auto"/>
        </w:rPr>
      </w:pPr>
    </w:p>
    <w:p w14:paraId="607EB633" w14:textId="77777777" w:rsidR="008346EB" w:rsidRDefault="008346EB" w:rsidP="003E484E">
      <w:pPr>
        <w:pStyle w:val="Default"/>
        <w:spacing w:line="360" w:lineRule="auto"/>
        <w:rPr>
          <w:color w:val="auto"/>
        </w:rPr>
      </w:pPr>
      <w:r w:rsidRPr="008346EB">
        <w:rPr>
          <w:color w:val="auto"/>
        </w:rPr>
        <w:t>(6) The court may expand, limit, modify, or revoke this order, and nothing prevents either party from requesting such relief. Furthermore, the parties, with joint agreement, may waive in writing some or all of the provisions of this order</w:t>
      </w:r>
      <w:r>
        <w:rPr>
          <w:color w:val="auto"/>
        </w:rPr>
        <w:t>.</w:t>
      </w:r>
    </w:p>
    <w:p w14:paraId="7820A1D5" w14:textId="77777777" w:rsidR="00E62974" w:rsidRDefault="00E62974" w:rsidP="003E484E">
      <w:pPr>
        <w:pStyle w:val="Default"/>
        <w:spacing w:line="360" w:lineRule="auto"/>
        <w:rPr>
          <w:color w:val="auto"/>
        </w:rPr>
      </w:pPr>
    </w:p>
    <w:p w14:paraId="16ED6A62" w14:textId="77777777" w:rsidR="008346EB" w:rsidRDefault="008346EB" w:rsidP="003E484E">
      <w:pPr>
        <w:pStyle w:val="Default"/>
        <w:spacing w:line="360" w:lineRule="auto"/>
        <w:rPr>
          <w:color w:val="auto"/>
        </w:rPr>
      </w:pPr>
      <w:r w:rsidRPr="008346EB">
        <w:rPr>
          <w:color w:val="auto"/>
        </w:rPr>
        <w:t xml:space="preserve">(7) The parties shall serve preliminary financial disclosures within 60 days of service of the petition for dissolution, declaration of invalidity of marriage, or legal separation pursuant to 40-4-252. </w:t>
      </w:r>
    </w:p>
    <w:p w14:paraId="2D16EAC6" w14:textId="77777777" w:rsidR="008346EB" w:rsidRPr="008346EB" w:rsidRDefault="008346EB" w:rsidP="003E484E">
      <w:pPr>
        <w:pStyle w:val="Default"/>
        <w:spacing w:line="360" w:lineRule="auto"/>
        <w:rPr>
          <w:color w:val="auto"/>
        </w:rPr>
      </w:pPr>
    </w:p>
    <w:p w14:paraId="6339781B" w14:textId="0973C5CA" w:rsidR="008346EB" w:rsidRDefault="008346EB" w:rsidP="003E484E">
      <w:pPr>
        <w:pStyle w:val="Default"/>
        <w:spacing w:line="360" w:lineRule="auto"/>
        <w:rPr>
          <w:color w:val="auto"/>
        </w:rPr>
      </w:pPr>
      <w:r w:rsidRPr="008346EB">
        <w:rPr>
          <w:color w:val="auto"/>
        </w:rPr>
        <w:t>(8) This order is binding o</w:t>
      </w:r>
      <w:r w:rsidR="00F6594A">
        <w:rPr>
          <w:color w:val="auto"/>
        </w:rPr>
        <w:t>n the P</w:t>
      </w:r>
      <w:r w:rsidRPr="008346EB">
        <w:rPr>
          <w:color w:val="auto"/>
        </w:rPr>
        <w:t>etitioner on filing of the petition, an</w:t>
      </w:r>
      <w:r w:rsidR="00F6594A">
        <w:rPr>
          <w:color w:val="auto"/>
        </w:rPr>
        <w:t>d this order is binding on the R</w:t>
      </w:r>
      <w:r w:rsidRPr="008346EB">
        <w:rPr>
          <w:color w:val="auto"/>
        </w:rPr>
        <w:t xml:space="preserve">espondent on service of the petition. </w:t>
      </w:r>
    </w:p>
    <w:p w14:paraId="2EC19D45" w14:textId="77777777" w:rsidR="008346EB" w:rsidRPr="008346EB" w:rsidRDefault="008346EB" w:rsidP="003E484E">
      <w:pPr>
        <w:pStyle w:val="Default"/>
        <w:spacing w:line="360" w:lineRule="auto"/>
        <w:rPr>
          <w:color w:val="auto"/>
        </w:rPr>
      </w:pPr>
    </w:p>
    <w:p w14:paraId="54BB2466" w14:textId="77777777" w:rsidR="008346EB" w:rsidRDefault="008346EB" w:rsidP="003E484E">
      <w:pPr>
        <w:pStyle w:val="Default"/>
        <w:spacing w:line="360" w:lineRule="auto"/>
        <w:rPr>
          <w:color w:val="auto"/>
        </w:rPr>
      </w:pPr>
      <w:r w:rsidRPr="008346EB">
        <w:rPr>
          <w:color w:val="auto"/>
        </w:rPr>
        <w:t xml:space="preserve">(9) In issuing any temporary orders or in a final decree, the court may consider any action taken by the petitioner within a reasonable time prior to filing of the petition that would otherwise have constituted a violation of this order had this order been issued at the time. </w:t>
      </w:r>
    </w:p>
    <w:p w14:paraId="2A705012" w14:textId="77777777" w:rsidR="008346EB" w:rsidRPr="008346EB" w:rsidRDefault="008346EB" w:rsidP="003E484E">
      <w:pPr>
        <w:pStyle w:val="Default"/>
        <w:spacing w:line="360" w:lineRule="auto"/>
        <w:rPr>
          <w:color w:val="auto"/>
        </w:rPr>
      </w:pPr>
    </w:p>
    <w:p w14:paraId="31BC9569" w14:textId="77777777" w:rsidR="008346EB" w:rsidRDefault="008346EB" w:rsidP="003E484E">
      <w:pPr>
        <w:pStyle w:val="Default"/>
        <w:spacing w:line="360" w:lineRule="auto"/>
        <w:rPr>
          <w:color w:val="auto"/>
        </w:rPr>
      </w:pPr>
      <w:r w:rsidRPr="008346EB">
        <w:rPr>
          <w:color w:val="auto"/>
        </w:rPr>
        <w:t xml:space="preserve">(10) Except as otherwise ordered by the court, this order is dissolved on dismissal of the action or granting of the declaration of invalidity, dissolution of marriage, legal separation, or other final order. </w:t>
      </w:r>
    </w:p>
    <w:p w14:paraId="2ABCB2F0" w14:textId="77777777" w:rsidR="008346EB" w:rsidRPr="008346EB" w:rsidRDefault="008346EB" w:rsidP="003E484E">
      <w:pPr>
        <w:pStyle w:val="Default"/>
        <w:spacing w:line="360" w:lineRule="auto"/>
        <w:rPr>
          <w:color w:val="auto"/>
        </w:rPr>
      </w:pPr>
    </w:p>
    <w:p w14:paraId="24297A34" w14:textId="725D4D98" w:rsidR="008346EB" w:rsidRDefault="008346EB" w:rsidP="003E484E">
      <w:pPr>
        <w:pStyle w:val="Default"/>
        <w:spacing w:line="360" w:lineRule="auto"/>
        <w:rPr>
          <w:color w:val="auto"/>
        </w:rPr>
      </w:pPr>
      <w:r w:rsidRPr="008346EB">
        <w:rPr>
          <w:color w:val="auto"/>
        </w:rPr>
        <w:t>(11) Failure to follow this automatic economic restraining order is subject to enforcement by the court, on a motion to the court. The court may issue any appropriate enforcement order including, if appropriate, sanctions and all r</w:t>
      </w:r>
      <w:r w:rsidR="003E484E">
        <w:rPr>
          <w:color w:val="auto"/>
        </w:rPr>
        <w:t>emedies for contempt of court.</w:t>
      </w:r>
    </w:p>
    <w:p w14:paraId="6641EEA3" w14:textId="77777777" w:rsidR="00E62974" w:rsidRDefault="00E62974" w:rsidP="00E62974">
      <w:pPr>
        <w:spacing w:line="480" w:lineRule="auto"/>
        <w:jc w:val="both"/>
        <w:rPr>
          <w:rFonts w:ascii="Arial" w:hAnsi="Arial" w:cs="Arial"/>
        </w:rPr>
      </w:pPr>
    </w:p>
    <w:p w14:paraId="0A6CC394" w14:textId="77777777" w:rsidR="00C24A35" w:rsidRPr="00E50552" w:rsidRDefault="00C24A35" w:rsidP="00C24A35">
      <w:pPr>
        <w:spacing w:line="480" w:lineRule="auto"/>
        <w:ind w:firstLine="720"/>
        <w:jc w:val="both"/>
        <w:rPr>
          <w:rFonts w:ascii="Arial" w:hAnsi="Arial" w:cs="Arial"/>
        </w:rPr>
      </w:pPr>
      <w:r w:rsidRPr="00E50552">
        <w:rPr>
          <w:rFonts w:ascii="Arial" w:hAnsi="Arial" w:cs="Arial"/>
        </w:rPr>
        <w:t xml:space="preserve">DATED this </w:t>
      </w:r>
      <w:r w:rsidRPr="00E50552">
        <w:rPr>
          <w:rFonts w:ascii="Arial" w:hAnsi="Arial" w:cs="Arial"/>
          <w:u w:val="single"/>
        </w:rPr>
        <w:t xml:space="preserve">         </w:t>
      </w:r>
      <w:r w:rsidRPr="00E50552">
        <w:rPr>
          <w:rFonts w:ascii="Arial" w:hAnsi="Arial" w:cs="Arial"/>
        </w:rPr>
        <w:t xml:space="preserve"> day of </w:t>
      </w:r>
      <w:r w:rsidRPr="00E50552">
        <w:rPr>
          <w:rFonts w:ascii="Arial" w:hAnsi="Arial" w:cs="Arial"/>
          <w:u w:val="single"/>
        </w:rPr>
        <w:t xml:space="preserve">                                  </w:t>
      </w:r>
      <w:r w:rsidRPr="00E50552">
        <w:rPr>
          <w:rFonts w:ascii="Arial" w:hAnsi="Arial" w:cs="Arial"/>
        </w:rPr>
        <w:t>, 20___.</w:t>
      </w:r>
    </w:p>
    <w:p w14:paraId="0997A883" w14:textId="77777777" w:rsidR="00C24A35" w:rsidRPr="00E50552" w:rsidRDefault="00C24A35" w:rsidP="002A0E8A">
      <w:pPr>
        <w:ind w:firstLine="720"/>
        <w:jc w:val="both"/>
        <w:rPr>
          <w:rFonts w:ascii="Arial" w:hAnsi="Arial" w:cs="Arial"/>
        </w:rPr>
      </w:pPr>
      <w:r w:rsidRPr="00E50552">
        <w:rPr>
          <w:rFonts w:ascii="Arial" w:hAnsi="Arial" w:cs="Arial"/>
        </w:rPr>
        <w:t>(Seal)</w:t>
      </w:r>
    </w:p>
    <w:p w14:paraId="1A284F5B" w14:textId="77777777" w:rsidR="00C24A35" w:rsidRPr="00E50552" w:rsidRDefault="00C24A35" w:rsidP="00C24A35">
      <w:pPr>
        <w:ind w:firstLine="4320"/>
        <w:jc w:val="both"/>
        <w:rPr>
          <w:rFonts w:ascii="Arial" w:hAnsi="Arial" w:cs="Arial"/>
        </w:rPr>
      </w:pPr>
      <w:r w:rsidRPr="00E50552">
        <w:rPr>
          <w:rFonts w:ascii="Arial" w:hAnsi="Arial" w:cs="Arial"/>
        </w:rPr>
        <w:t>___________</w:t>
      </w:r>
      <w:r>
        <w:rPr>
          <w:rFonts w:ascii="Arial" w:hAnsi="Arial" w:cs="Arial"/>
        </w:rPr>
        <w:t>_____</w:t>
      </w:r>
      <w:r w:rsidR="00416DB1">
        <w:rPr>
          <w:rFonts w:ascii="Arial" w:hAnsi="Arial" w:cs="Arial"/>
        </w:rPr>
        <w:t>_____________________</w:t>
      </w:r>
    </w:p>
    <w:p w14:paraId="17791E84" w14:textId="77777777" w:rsidR="00C24A35" w:rsidRPr="00E50552" w:rsidRDefault="00C24A35" w:rsidP="00C24A35">
      <w:pPr>
        <w:ind w:firstLine="4320"/>
        <w:jc w:val="both"/>
        <w:rPr>
          <w:rFonts w:ascii="Arial" w:hAnsi="Arial" w:cs="Arial"/>
        </w:rPr>
      </w:pPr>
      <w:r w:rsidRPr="00E50552">
        <w:rPr>
          <w:rFonts w:ascii="Arial" w:hAnsi="Arial" w:cs="Arial"/>
        </w:rPr>
        <w:t>Clerk of Court</w:t>
      </w:r>
    </w:p>
    <w:p w14:paraId="1C947A3C" w14:textId="77777777" w:rsidR="00C24A35" w:rsidRDefault="00C24A35" w:rsidP="00C24A35">
      <w:pPr>
        <w:ind w:firstLine="4320"/>
        <w:jc w:val="both"/>
        <w:rPr>
          <w:rFonts w:ascii="Arial" w:hAnsi="Arial" w:cs="Arial"/>
        </w:rPr>
      </w:pPr>
    </w:p>
    <w:p w14:paraId="0721FFD4" w14:textId="77777777" w:rsidR="00C24A35" w:rsidRPr="00E50552" w:rsidRDefault="00C24A35" w:rsidP="00ED7273">
      <w:pPr>
        <w:ind w:left="4320"/>
        <w:jc w:val="both"/>
        <w:rPr>
          <w:rFonts w:ascii="Arial" w:hAnsi="Arial" w:cs="Arial"/>
        </w:rPr>
      </w:pPr>
      <w:r w:rsidRPr="00E50552">
        <w:rPr>
          <w:rFonts w:ascii="Arial" w:hAnsi="Arial" w:cs="Arial"/>
        </w:rPr>
        <w:t>By: __________</w:t>
      </w:r>
      <w:r>
        <w:rPr>
          <w:rFonts w:ascii="Arial" w:hAnsi="Arial" w:cs="Arial"/>
        </w:rPr>
        <w:t>_____</w:t>
      </w:r>
      <w:r w:rsidRPr="00E50552">
        <w:rPr>
          <w:rFonts w:ascii="Arial" w:hAnsi="Arial" w:cs="Arial"/>
        </w:rPr>
        <w:t>______________________</w:t>
      </w:r>
    </w:p>
    <w:p w14:paraId="3E602C0D" w14:textId="77777777" w:rsidR="00B85FC4" w:rsidRPr="0062708B" w:rsidRDefault="00C24A35" w:rsidP="00C24A35">
      <w:pPr>
        <w:ind w:firstLine="4320"/>
        <w:jc w:val="both"/>
        <w:rPr>
          <w:rFonts w:ascii="Arial" w:hAnsi="Arial" w:cs="Arial"/>
        </w:rPr>
      </w:pPr>
      <w:r w:rsidRPr="00E50552">
        <w:rPr>
          <w:rFonts w:ascii="Arial" w:hAnsi="Arial" w:cs="Arial"/>
        </w:rPr>
        <w:t xml:space="preserve">      Deputy Clerk</w:t>
      </w:r>
    </w:p>
    <w:sectPr w:rsidR="00B85FC4" w:rsidRPr="0062708B" w:rsidSect="00ED7273">
      <w:footerReference w:type="default" r:id="rId8"/>
      <w:type w:val="continuous"/>
      <w:pgSz w:w="12240" w:h="15840"/>
      <w:pgMar w:top="1029" w:right="1440" w:bottom="810" w:left="1440" w:header="360" w:footer="36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8AF71" w14:textId="77777777" w:rsidR="00EE4ABE" w:rsidRDefault="00EE4ABE" w:rsidP="00B85FC4">
      <w:r>
        <w:separator/>
      </w:r>
    </w:p>
  </w:endnote>
  <w:endnote w:type="continuationSeparator" w:id="0">
    <w:p w14:paraId="1FE8D394" w14:textId="77777777" w:rsidR="00EE4ABE" w:rsidRDefault="00EE4ABE" w:rsidP="00B85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6B02" w14:textId="3AF5333A" w:rsidR="00ED284B" w:rsidRPr="00D26A1A" w:rsidRDefault="004A3680" w:rsidP="002A0E8A">
    <w:pPr>
      <w:pStyle w:val="Footer"/>
      <w:jc w:val="both"/>
      <w:rPr>
        <w:rFonts w:ascii="Arial" w:hAnsi="Arial" w:cs="Arial"/>
        <w:sz w:val="18"/>
        <w:szCs w:val="18"/>
      </w:rPr>
    </w:pPr>
    <w:r w:rsidRPr="002A0E8A">
      <w:rPr>
        <w:rFonts w:ascii="Arial" w:hAnsi="Arial" w:cs="Arial"/>
        <w:b/>
        <w:sz w:val="18"/>
        <w:szCs w:val="18"/>
      </w:rPr>
      <w:t xml:space="preserve">MP-400 </w:t>
    </w:r>
    <w:r w:rsidR="00B03DBC">
      <w:rPr>
        <w:rFonts w:ascii="Arial" w:hAnsi="Arial" w:cs="Arial"/>
        <w:b/>
        <w:sz w:val="18"/>
        <w:szCs w:val="18"/>
      </w:rPr>
      <w:t>Summons and AE</w:t>
    </w:r>
    <w:r w:rsidR="00ED284B" w:rsidRPr="002A0E8A">
      <w:rPr>
        <w:rFonts w:ascii="Arial" w:hAnsi="Arial" w:cs="Arial"/>
        <w:b/>
        <w:sz w:val="18"/>
        <w:szCs w:val="18"/>
      </w:rPr>
      <w:t>RO</w:t>
    </w:r>
    <w:r w:rsidR="00D26A1A">
      <w:rPr>
        <w:rFonts w:ascii="Arial" w:hAnsi="Arial" w:cs="Arial"/>
        <w:b/>
        <w:sz w:val="18"/>
        <w:szCs w:val="18"/>
      </w:rPr>
      <w:t xml:space="preserve"> – </w:t>
    </w:r>
    <w:r w:rsidR="00D26A1A">
      <w:rPr>
        <w:rFonts w:ascii="Arial" w:hAnsi="Arial" w:cs="Arial"/>
        <w:sz w:val="18"/>
        <w:szCs w:val="18"/>
      </w:rPr>
      <w:t>Revised 09/15/2021</w:t>
    </w:r>
  </w:p>
  <w:p w14:paraId="7734045D" w14:textId="345872AD" w:rsidR="00ED284B" w:rsidRPr="004A3680" w:rsidRDefault="00D26A1A" w:rsidP="00ED284B">
    <w:pPr>
      <w:pStyle w:val="Footer"/>
      <w:rPr>
        <w:rFonts w:ascii="Arial" w:hAnsi="Arial" w:cs="Arial"/>
        <w:sz w:val="18"/>
        <w:szCs w:val="18"/>
      </w:rPr>
    </w:pPr>
    <w:r>
      <w:rPr>
        <w:rFonts w:ascii="Arial" w:hAnsi="Arial" w:cs="Arial"/>
        <w:sz w:val="18"/>
        <w:szCs w:val="18"/>
      </w:rPr>
      <w:t xml:space="preserve">© </w:t>
    </w:r>
    <w:r w:rsidR="00ED284B" w:rsidRPr="004A3680">
      <w:rPr>
        <w:rFonts w:ascii="Arial" w:hAnsi="Arial" w:cs="Arial"/>
        <w:sz w:val="18"/>
        <w:szCs w:val="18"/>
      </w:rPr>
      <w:t>Montana Supreme Court and Montana Legal Services Association</w:t>
    </w:r>
  </w:p>
  <w:p w14:paraId="21985F6B" w14:textId="77777777" w:rsidR="00ED284B" w:rsidRPr="004A3680" w:rsidRDefault="00ED284B" w:rsidP="00ED284B">
    <w:pPr>
      <w:pStyle w:val="Footer"/>
      <w:rPr>
        <w:rFonts w:ascii="Arial" w:hAnsi="Arial" w:cs="Arial"/>
        <w:sz w:val="18"/>
        <w:szCs w:val="18"/>
      </w:rPr>
    </w:pPr>
    <w:r w:rsidRPr="004A3680">
      <w:rPr>
        <w:rFonts w:ascii="Arial" w:hAnsi="Arial" w:cs="Arial"/>
        <w:sz w:val="18"/>
        <w:szCs w:val="18"/>
      </w:rPr>
      <w:t>This form may be used for non-commercial purposes</w:t>
    </w:r>
    <w:r w:rsidR="002A0E8A">
      <w:rPr>
        <w:rFonts w:ascii="Arial" w:hAnsi="Arial" w:cs="Arial"/>
        <w:sz w:val="18"/>
        <w:szCs w:val="18"/>
      </w:rPr>
      <w:t xml:space="preserve"> only</w:t>
    </w:r>
  </w:p>
  <w:p w14:paraId="6D915A9E" w14:textId="77777777" w:rsidR="0062708B" w:rsidRPr="004A3680" w:rsidRDefault="002A0E8A" w:rsidP="002A0E8A">
    <w:pPr>
      <w:pStyle w:val="Footer"/>
      <w:jc w:val="right"/>
      <w:rPr>
        <w:rFonts w:ascii="Arial" w:hAnsi="Arial" w:cs="Arial"/>
        <w:b/>
      </w:rPr>
    </w:pPr>
    <w:r w:rsidRPr="004A3680">
      <w:rPr>
        <w:rFonts w:ascii="Arial" w:hAnsi="Arial" w:cs="Arial"/>
        <w:sz w:val="18"/>
        <w:szCs w:val="18"/>
      </w:rPr>
      <w:t xml:space="preserve">Page </w:t>
    </w:r>
    <w:r w:rsidR="0005735A" w:rsidRPr="00AF5C35">
      <w:rPr>
        <w:rFonts w:ascii="Arial" w:hAnsi="Arial" w:cs="Arial"/>
        <w:b/>
        <w:sz w:val="18"/>
        <w:szCs w:val="18"/>
      </w:rPr>
      <w:fldChar w:fldCharType="begin"/>
    </w:r>
    <w:r w:rsidRPr="00AF5C35">
      <w:rPr>
        <w:rFonts w:ascii="Arial" w:hAnsi="Arial" w:cs="Arial"/>
        <w:b/>
        <w:sz w:val="18"/>
        <w:szCs w:val="18"/>
      </w:rPr>
      <w:instrText xml:space="preserve"> PAGE  \* Arabic  \* MERGEFORMAT </w:instrText>
    </w:r>
    <w:r w:rsidR="0005735A" w:rsidRPr="00AF5C35">
      <w:rPr>
        <w:rFonts w:ascii="Arial" w:hAnsi="Arial" w:cs="Arial"/>
        <w:b/>
        <w:sz w:val="18"/>
        <w:szCs w:val="18"/>
      </w:rPr>
      <w:fldChar w:fldCharType="separate"/>
    </w:r>
    <w:r w:rsidR="00D26A1A">
      <w:rPr>
        <w:rFonts w:ascii="Arial" w:hAnsi="Arial" w:cs="Arial"/>
        <w:b/>
        <w:noProof/>
        <w:sz w:val="18"/>
        <w:szCs w:val="18"/>
      </w:rPr>
      <w:t>5</w:t>
    </w:r>
    <w:r w:rsidR="0005735A" w:rsidRPr="00AF5C35">
      <w:rPr>
        <w:rFonts w:ascii="Arial" w:hAnsi="Arial" w:cs="Arial"/>
        <w:b/>
        <w:sz w:val="18"/>
        <w:szCs w:val="18"/>
      </w:rPr>
      <w:fldChar w:fldCharType="end"/>
    </w:r>
    <w:r w:rsidRPr="004A3680">
      <w:rPr>
        <w:rFonts w:ascii="Arial" w:hAnsi="Arial" w:cs="Arial"/>
        <w:sz w:val="18"/>
        <w:szCs w:val="18"/>
      </w:rPr>
      <w:t xml:space="preserve"> of</w:t>
    </w:r>
    <w:r w:rsidRPr="00AF5C35">
      <w:rPr>
        <w:rFonts w:ascii="Arial" w:hAnsi="Arial" w:cs="Arial"/>
        <w:b/>
        <w:sz w:val="18"/>
        <w:szCs w:val="18"/>
      </w:rPr>
      <w:t xml:space="preserve"> </w:t>
    </w:r>
    <w:r w:rsidR="000B0FF9">
      <w:rPr>
        <w:rFonts w:ascii="Arial" w:hAnsi="Arial" w:cs="Arial"/>
        <w:b/>
        <w:noProof/>
        <w:sz w:val="18"/>
        <w:szCs w:val="18"/>
      </w:rPr>
      <w:fldChar w:fldCharType="begin"/>
    </w:r>
    <w:r w:rsidR="000B0FF9">
      <w:rPr>
        <w:rFonts w:ascii="Arial" w:hAnsi="Arial" w:cs="Arial"/>
        <w:b/>
        <w:noProof/>
        <w:sz w:val="18"/>
        <w:szCs w:val="18"/>
      </w:rPr>
      <w:instrText xml:space="preserve"> NUMPAGES  \* Arabic  \* MERGEFORMAT </w:instrText>
    </w:r>
    <w:r w:rsidR="000B0FF9">
      <w:rPr>
        <w:rFonts w:ascii="Arial" w:hAnsi="Arial" w:cs="Arial"/>
        <w:b/>
        <w:noProof/>
        <w:sz w:val="18"/>
        <w:szCs w:val="18"/>
      </w:rPr>
      <w:fldChar w:fldCharType="separate"/>
    </w:r>
    <w:r w:rsidR="00D26A1A">
      <w:rPr>
        <w:rFonts w:ascii="Arial" w:hAnsi="Arial" w:cs="Arial"/>
        <w:b/>
        <w:noProof/>
        <w:sz w:val="18"/>
        <w:szCs w:val="18"/>
      </w:rPr>
      <w:t>5</w:t>
    </w:r>
    <w:r w:rsidR="000B0FF9">
      <w:rPr>
        <w:rFonts w:ascii="Arial" w:hAnsi="Arial" w:cs="Arial"/>
        <w:b/>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C8ADC" w14:textId="77777777" w:rsidR="00EE4ABE" w:rsidRDefault="00EE4ABE" w:rsidP="00B85FC4">
      <w:r>
        <w:separator/>
      </w:r>
    </w:p>
  </w:footnote>
  <w:footnote w:type="continuationSeparator" w:id="0">
    <w:p w14:paraId="03313EC8" w14:textId="77777777" w:rsidR="00EE4ABE" w:rsidRDefault="00EE4ABE" w:rsidP="00B85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05BFF"/>
    <w:multiLevelType w:val="hybridMultilevel"/>
    <w:tmpl w:val="189EC7E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63C964F4"/>
    <w:multiLevelType w:val="hybridMultilevel"/>
    <w:tmpl w:val="E92E1F30"/>
    <w:lvl w:ilvl="0" w:tplc="E884B478">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6D1101D7"/>
    <w:multiLevelType w:val="hybridMultilevel"/>
    <w:tmpl w:val="0F5EDD0C"/>
    <w:lvl w:ilvl="0" w:tplc="34E6ECE6">
      <w:start w:val="1"/>
      <w:numFmt w:val="decimal"/>
      <w:lvlText w:val="%1."/>
      <w:lvlJc w:val="left"/>
      <w:pPr>
        <w:tabs>
          <w:tab w:val="num" w:pos="360"/>
        </w:tabs>
        <w:ind w:left="36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FC4"/>
    <w:rsid w:val="0005735A"/>
    <w:rsid w:val="00064BE0"/>
    <w:rsid w:val="000A6CAA"/>
    <w:rsid w:val="000B0FF9"/>
    <w:rsid w:val="000C521A"/>
    <w:rsid w:val="000E374E"/>
    <w:rsid w:val="00140342"/>
    <w:rsid w:val="00154F36"/>
    <w:rsid w:val="00175072"/>
    <w:rsid w:val="00190A74"/>
    <w:rsid w:val="00215761"/>
    <w:rsid w:val="0022732A"/>
    <w:rsid w:val="00255B37"/>
    <w:rsid w:val="002A0E8A"/>
    <w:rsid w:val="00313A7F"/>
    <w:rsid w:val="00382071"/>
    <w:rsid w:val="003C2DDE"/>
    <w:rsid w:val="003E484E"/>
    <w:rsid w:val="003E4D07"/>
    <w:rsid w:val="00415CAC"/>
    <w:rsid w:val="00416DB1"/>
    <w:rsid w:val="00463999"/>
    <w:rsid w:val="004A3680"/>
    <w:rsid w:val="004A6896"/>
    <w:rsid w:val="005031FE"/>
    <w:rsid w:val="00524B20"/>
    <w:rsid w:val="005D49F0"/>
    <w:rsid w:val="0062708B"/>
    <w:rsid w:val="006848E0"/>
    <w:rsid w:val="006C2978"/>
    <w:rsid w:val="006D5324"/>
    <w:rsid w:val="006F65E3"/>
    <w:rsid w:val="00704C82"/>
    <w:rsid w:val="0071566B"/>
    <w:rsid w:val="007248B9"/>
    <w:rsid w:val="00735EB2"/>
    <w:rsid w:val="0074533A"/>
    <w:rsid w:val="00746D1C"/>
    <w:rsid w:val="007503BA"/>
    <w:rsid w:val="0075040F"/>
    <w:rsid w:val="00774337"/>
    <w:rsid w:val="007D3E0E"/>
    <w:rsid w:val="007D5252"/>
    <w:rsid w:val="008346EB"/>
    <w:rsid w:val="008A0588"/>
    <w:rsid w:val="008B0D0A"/>
    <w:rsid w:val="008B63FF"/>
    <w:rsid w:val="00927F08"/>
    <w:rsid w:val="00937EA8"/>
    <w:rsid w:val="009419A6"/>
    <w:rsid w:val="009E4568"/>
    <w:rsid w:val="00A0022F"/>
    <w:rsid w:val="00A37B71"/>
    <w:rsid w:val="00AC2402"/>
    <w:rsid w:val="00AF5C35"/>
    <w:rsid w:val="00B03DBC"/>
    <w:rsid w:val="00B34833"/>
    <w:rsid w:val="00B53A5F"/>
    <w:rsid w:val="00B5473B"/>
    <w:rsid w:val="00B67A11"/>
    <w:rsid w:val="00B85FC4"/>
    <w:rsid w:val="00B907CC"/>
    <w:rsid w:val="00BB7E73"/>
    <w:rsid w:val="00C11959"/>
    <w:rsid w:val="00C24A35"/>
    <w:rsid w:val="00CD2F65"/>
    <w:rsid w:val="00CE60E2"/>
    <w:rsid w:val="00D26A1A"/>
    <w:rsid w:val="00D61DD8"/>
    <w:rsid w:val="00D63D4C"/>
    <w:rsid w:val="00D651B3"/>
    <w:rsid w:val="00D96EE8"/>
    <w:rsid w:val="00DC4303"/>
    <w:rsid w:val="00DD6495"/>
    <w:rsid w:val="00DF2A78"/>
    <w:rsid w:val="00E126D4"/>
    <w:rsid w:val="00E46005"/>
    <w:rsid w:val="00E50552"/>
    <w:rsid w:val="00E62974"/>
    <w:rsid w:val="00ED284B"/>
    <w:rsid w:val="00ED7273"/>
    <w:rsid w:val="00EE4ABE"/>
    <w:rsid w:val="00EE657A"/>
    <w:rsid w:val="00F127EB"/>
    <w:rsid w:val="00F166A2"/>
    <w:rsid w:val="00F171B7"/>
    <w:rsid w:val="00F6594A"/>
    <w:rsid w:val="00F76D31"/>
    <w:rsid w:val="00F96344"/>
    <w:rsid w:val="00FD6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C6BF1A"/>
  <w15:docId w15:val="{DBACA458-8763-477E-9CF1-48071578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Pr>
      <w:rFonts w:cs="Times New Roman"/>
    </w:rPr>
  </w:style>
  <w:style w:type="character" w:styleId="Hyperlink">
    <w:name w:val="Hyperlink"/>
    <w:basedOn w:val="DefaultParagraphFont"/>
    <w:uiPriority w:val="99"/>
    <w:unhideWhenUsed/>
    <w:rsid w:val="0062708B"/>
    <w:rPr>
      <w:rFonts w:cs="Times New Roman"/>
      <w:color w:val="0000FF" w:themeColor="hyperlink"/>
      <w:u w:val="single"/>
    </w:rPr>
  </w:style>
  <w:style w:type="table" w:styleId="TableGrid">
    <w:name w:val="Table Grid"/>
    <w:basedOn w:val="TableNormal"/>
    <w:uiPriority w:val="59"/>
    <w:rsid w:val="00154F36"/>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284B"/>
    <w:pPr>
      <w:tabs>
        <w:tab w:val="center" w:pos="4680"/>
        <w:tab w:val="right" w:pos="9360"/>
      </w:tabs>
    </w:pPr>
  </w:style>
  <w:style w:type="character" w:customStyle="1" w:styleId="HeaderChar">
    <w:name w:val="Header Char"/>
    <w:basedOn w:val="DefaultParagraphFont"/>
    <w:link w:val="Header"/>
    <w:uiPriority w:val="99"/>
    <w:locked/>
    <w:rsid w:val="00ED284B"/>
    <w:rPr>
      <w:rFonts w:ascii="Courier" w:hAnsi="Courier" w:cs="Times New Roman"/>
      <w:sz w:val="24"/>
      <w:szCs w:val="24"/>
    </w:rPr>
  </w:style>
  <w:style w:type="paragraph" w:styleId="Footer">
    <w:name w:val="footer"/>
    <w:basedOn w:val="Normal"/>
    <w:link w:val="FooterChar"/>
    <w:uiPriority w:val="99"/>
    <w:unhideWhenUsed/>
    <w:rsid w:val="00ED284B"/>
    <w:pPr>
      <w:tabs>
        <w:tab w:val="center" w:pos="4680"/>
        <w:tab w:val="right" w:pos="9360"/>
      </w:tabs>
    </w:pPr>
  </w:style>
  <w:style w:type="character" w:customStyle="1" w:styleId="FooterChar">
    <w:name w:val="Footer Char"/>
    <w:basedOn w:val="DefaultParagraphFont"/>
    <w:link w:val="Footer"/>
    <w:uiPriority w:val="99"/>
    <w:locked/>
    <w:rsid w:val="00ED284B"/>
    <w:rPr>
      <w:rFonts w:ascii="Courier" w:hAnsi="Courier" w:cs="Times New Roman"/>
      <w:sz w:val="24"/>
      <w:szCs w:val="24"/>
    </w:rPr>
  </w:style>
  <w:style w:type="paragraph" w:styleId="BalloonText">
    <w:name w:val="Balloon Text"/>
    <w:basedOn w:val="Normal"/>
    <w:link w:val="BalloonTextChar"/>
    <w:uiPriority w:val="99"/>
    <w:semiHidden/>
    <w:unhideWhenUsed/>
    <w:rsid w:val="00E126D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26D4"/>
    <w:rPr>
      <w:rFonts w:ascii="Tahoma" w:hAnsi="Tahoma" w:cs="Tahoma"/>
      <w:sz w:val="16"/>
      <w:szCs w:val="16"/>
    </w:rPr>
  </w:style>
  <w:style w:type="paragraph" w:customStyle="1" w:styleId="Default">
    <w:name w:val="Default"/>
    <w:rsid w:val="008346EB"/>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E62974"/>
    <w:rPr>
      <w:sz w:val="16"/>
      <w:szCs w:val="16"/>
    </w:rPr>
  </w:style>
  <w:style w:type="paragraph" w:styleId="CommentText">
    <w:name w:val="annotation text"/>
    <w:basedOn w:val="Normal"/>
    <w:link w:val="CommentTextChar"/>
    <w:uiPriority w:val="99"/>
    <w:semiHidden/>
    <w:unhideWhenUsed/>
    <w:rsid w:val="00E62974"/>
    <w:rPr>
      <w:sz w:val="20"/>
      <w:szCs w:val="20"/>
    </w:rPr>
  </w:style>
  <w:style w:type="character" w:customStyle="1" w:styleId="CommentTextChar">
    <w:name w:val="Comment Text Char"/>
    <w:basedOn w:val="DefaultParagraphFont"/>
    <w:link w:val="CommentText"/>
    <w:uiPriority w:val="99"/>
    <w:semiHidden/>
    <w:rsid w:val="00E62974"/>
    <w:rPr>
      <w:rFonts w:ascii="Courier" w:hAnsi="Courier" w:cs="Times New Roman"/>
    </w:rPr>
  </w:style>
  <w:style w:type="paragraph" w:styleId="CommentSubject">
    <w:name w:val="annotation subject"/>
    <w:basedOn w:val="CommentText"/>
    <w:next w:val="CommentText"/>
    <w:link w:val="CommentSubjectChar"/>
    <w:uiPriority w:val="99"/>
    <w:semiHidden/>
    <w:unhideWhenUsed/>
    <w:rsid w:val="00E62974"/>
    <w:rPr>
      <w:b/>
      <w:bCs/>
    </w:rPr>
  </w:style>
  <w:style w:type="character" w:customStyle="1" w:styleId="CommentSubjectChar">
    <w:name w:val="Comment Subject Char"/>
    <w:basedOn w:val="CommentTextChar"/>
    <w:link w:val="CommentSubject"/>
    <w:uiPriority w:val="99"/>
    <w:semiHidden/>
    <w:rsid w:val="00E62974"/>
    <w:rPr>
      <w:rFonts w:ascii="Courier" w:hAnsi="Courier"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2544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urts.m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1408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cu1777</dc:creator>
  <cp:lastModifiedBy>Kramer, Alex</cp:lastModifiedBy>
  <cp:revision>3</cp:revision>
  <cp:lastPrinted>2014-05-15T16:53:00Z</cp:lastPrinted>
  <dcterms:created xsi:type="dcterms:W3CDTF">2021-09-16T15:08:00Z</dcterms:created>
  <dcterms:modified xsi:type="dcterms:W3CDTF">2021-09-16T15:08:00Z</dcterms:modified>
</cp:coreProperties>
</file>