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9ABAC" w14:textId="628FB4D4" w:rsidR="00F3200E" w:rsidRDefault="00476B72" w:rsidP="00476B72">
      <w:pPr>
        <w:shd w:val="clear" w:color="auto" w:fill="FFFFFF"/>
        <w:spacing w:after="100" w:afterAutospacing="1" w:line="240" w:lineRule="auto"/>
        <w:jc w:val="center"/>
        <w:rPr>
          <w:rFonts w:ascii="Open Sans" w:eastAsia="Times New Roman" w:hAnsi="Open Sans" w:cs="Open Sans"/>
          <w:b/>
          <w:bCs/>
          <w:color w:val="212529"/>
          <w:sz w:val="32"/>
          <w:szCs w:val="32"/>
          <w:u w:val="single"/>
        </w:rPr>
      </w:pPr>
      <w:bookmarkStart w:id="0" w:name="_Hlk99545841"/>
      <w:r>
        <w:rPr>
          <w:rFonts w:ascii="Open Sans" w:eastAsia="Times New Roman" w:hAnsi="Open Sans" w:cs="Open Sans"/>
          <w:b/>
          <w:bCs/>
          <w:color w:val="212529"/>
          <w:sz w:val="32"/>
          <w:szCs w:val="32"/>
          <w:u w:val="single"/>
        </w:rPr>
        <w:t>Montana Judicial Branch</w:t>
      </w:r>
    </w:p>
    <w:p w14:paraId="3E1909D3" w14:textId="7DB9D0A9" w:rsidR="00B16FA0" w:rsidRDefault="00B16FA0" w:rsidP="0068728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212529"/>
          <w:sz w:val="32"/>
          <w:szCs w:val="32"/>
          <w:u w:val="single"/>
        </w:rPr>
      </w:pPr>
      <w:r>
        <w:rPr>
          <w:rFonts w:ascii="Open Sans" w:eastAsia="Times New Roman" w:hAnsi="Open Sans" w:cs="Open Sans"/>
          <w:b/>
          <w:bCs/>
          <w:color w:val="212529"/>
          <w:sz w:val="32"/>
          <w:szCs w:val="32"/>
          <w:u w:val="single"/>
        </w:rPr>
        <w:t xml:space="preserve">Records Management </w:t>
      </w:r>
      <w:r w:rsidR="00687286">
        <w:rPr>
          <w:rFonts w:ascii="Open Sans" w:eastAsia="Times New Roman" w:hAnsi="Open Sans" w:cs="Open Sans"/>
          <w:b/>
          <w:bCs/>
          <w:color w:val="212529"/>
          <w:sz w:val="32"/>
          <w:szCs w:val="32"/>
          <w:u w:val="single"/>
        </w:rPr>
        <w:t>Bulletin</w:t>
      </w:r>
    </w:p>
    <w:p w14:paraId="1AE294FA" w14:textId="69F61853" w:rsidR="00476B72" w:rsidRDefault="00452B48" w:rsidP="00476B72">
      <w:pPr>
        <w:shd w:val="clear" w:color="auto" w:fill="FFFFFF"/>
        <w:spacing w:after="100" w:afterAutospacing="1" w:line="240" w:lineRule="auto"/>
        <w:jc w:val="center"/>
        <w:rPr>
          <w:rFonts w:ascii="Open Sans" w:eastAsia="Times New Roman" w:hAnsi="Open Sans" w:cs="Open Sans"/>
          <w:b/>
          <w:bCs/>
          <w:color w:val="212529"/>
          <w:sz w:val="32"/>
          <w:szCs w:val="32"/>
          <w:u w:val="single"/>
        </w:rPr>
      </w:pPr>
      <w:r>
        <w:rPr>
          <w:rFonts w:ascii="Open Sans" w:eastAsia="Times New Roman" w:hAnsi="Open Sans" w:cs="Open Sans"/>
          <w:b/>
          <w:bCs/>
          <w:color w:val="212529"/>
          <w:sz w:val="32"/>
          <w:szCs w:val="32"/>
          <w:u w:val="single"/>
        </w:rPr>
        <w:t xml:space="preserve">Internal Drug Court Records </w:t>
      </w:r>
    </w:p>
    <w:p w14:paraId="52F2259D" w14:textId="113CF462" w:rsidR="00BA7383" w:rsidRDefault="00BA7383" w:rsidP="00BA7383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BA7383">
        <w:rPr>
          <w:rFonts w:ascii="Open Sans" w:eastAsia="Times New Roman" w:hAnsi="Open Sans" w:cs="Open Sans"/>
          <w:color w:val="212529"/>
          <w:sz w:val="24"/>
          <w:szCs w:val="24"/>
        </w:rPr>
        <w:t xml:space="preserve">Pursuant to </w:t>
      </w:r>
      <w:r w:rsidR="00D537B8">
        <w:rPr>
          <w:rFonts w:ascii="Open Sans" w:eastAsia="Times New Roman" w:hAnsi="Open Sans" w:cs="Open Sans"/>
          <w:color w:val="212529"/>
          <w:sz w:val="24"/>
          <w:szCs w:val="24"/>
        </w:rPr>
        <w:t>Judicial Branch Policy #1570</w:t>
      </w:r>
      <w:r w:rsidR="0011628C">
        <w:rPr>
          <w:rFonts w:ascii="Open Sans" w:eastAsia="Times New Roman" w:hAnsi="Open Sans" w:cs="Open Sans"/>
          <w:color w:val="212529"/>
          <w:sz w:val="24"/>
          <w:szCs w:val="24"/>
        </w:rPr>
        <w:t>,</w:t>
      </w:r>
      <w:r w:rsidR="00D537B8">
        <w:rPr>
          <w:rFonts w:ascii="Open Sans" w:eastAsia="Times New Roman" w:hAnsi="Open Sans" w:cs="Open Sans"/>
          <w:color w:val="212529"/>
          <w:sz w:val="24"/>
          <w:szCs w:val="24"/>
        </w:rPr>
        <w:t xml:space="preserve"> certain</w:t>
      </w:r>
      <w:r w:rsidR="00452B48">
        <w:rPr>
          <w:rFonts w:ascii="Open Sans" w:eastAsia="Times New Roman" w:hAnsi="Open Sans" w:cs="Open Sans"/>
          <w:color w:val="212529"/>
          <w:sz w:val="24"/>
          <w:szCs w:val="24"/>
        </w:rPr>
        <w:t xml:space="preserve"> internal drug court documents and e-mails must be </w:t>
      </w:r>
      <w:r w:rsidR="00D537B8">
        <w:rPr>
          <w:rFonts w:ascii="Open Sans" w:eastAsia="Times New Roman" w:hAnsi="Open Sans" w:cs="Open Sans"/>
          <w:color w:val="212529"/>
          <w:sz w:val="24"/>
          <w:szCs w:val="24"/>
        </w:rPr>
        <w:t xml:space="preserve">maintained </w:t>
      </w:r>
      <w:r w:rsidR="0011628C">
        <w:rPr>
          <w:rFonts w:ascii="Open Sans" w:eastAsia="Times New Roman" w:hAnsi="Open Sans" w:cs="Open Sans"/>
          <w:color w:val="212529"/>
          <w:sz w:val="24"/>
          <w:szCs w:val="24"/>
        </w:rPr>
        <w:t xml:space="preserve">as outlined in </w:t>
      </w:r>
      <w:r w:rsidR="00D537B8">
        <w:rPr>
          <w:rFonts w:ascii="Open Sans" w:eastAsia="Times New Roman" w:hAnsi="Open Sans" w:cs="Open Sans"/>
          <w:color w:val="212529"/>
          <w:sz w:val="24"/>
          <w:szCs w:val="24"/>
        </w:rPr>
        <w:t xml:space="preserve">policy #1570. </w:t>
      </w:r>
      <w:r w:rsidR="00452B48">
        <w:rPr>
          <w:rFonts w:ascii="Open Sans" w:eastAsia="Times New Roman" w:hAnsi="Open Sans" w:cs="Open Sans"/>
          <w:color w:val="212529"/>
          <w:sz w:val="24"/>
          <w:szCs w:val="24"/>
        </w:rPr>
        <w:t xml:space="preserve"> Please note records retained under this guidance are not necessarily subject to public disclosure as </w:t>
      </w:r>
      <w:r w:rsidR="0077382E">
        <w:rPr>
          <w:rFonts w:ascii="Open Sans" w:eastAsia="Times New Roman" w:hAnsi="Open Sans" w:cs="Open Sans"/>
          <w:color w:val="212529"/>
          <w:sz w:val="24"/>
          <w:szCs w:val="24"/>
        </w:rPr>
        <w:t xml:space="preserve">many drug court documents are confidential in nature. </w:t>
      </w:r>
      <w:r w:rsidR="00B16FA0">
        <w:rPr>
          <w:rFonts w:ascii="Open Sans" w:eastAsia="Times New Roman" w:hAnsi="Open Sans" w:cs="Open Sans"/>
          <w:color w:val="212529"/>
          <w:sz w:val="24"/>
          <w:szCs w:val="24"/>
        </w:rPr>
        <w:t xml:space="preserve"> This guidance is specific to certain drug court documents and </w:t>
      </w:r>
      <w:r w:rsidR="00B5380D">
        <w:rPr>
          <w:rFonts w:ascii="Open Sans" w:eastAsia="Times New Roman" w:hAnsi="Open Sans" w:cs="Open Sans"/>
          <w:color w:val="212529"/>
          <w:sz w:val="24"/>
          <w:szCs w:val="24"/>
        </w:rPr>
        <w:t xml:space="preserve">only </w:t>
      </w:r>
      <w:r w:rsidR="00B16FA0">
        <w:rPr>
          <w:rFonts w:ascii="Open Sans" w:eastAsia="Times New Roman" w:hAnsi="Open Sans" w:cs="Open Sans"/>
          <w:color w:val="212529"/>
          <w:sz w:val="24"/>
          <w:szCs w:val="24"/>
        </w:rPr>
        <w:t xml:space="preserve">supplements the requirements in policy #1570. </w:t>
      </w:r>
      <w:r w:rsidR="00CC238A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</w:p>
    <w:p w14:paraId="450ED83D" w14:textId="77777777" w:rsidR="0077382E" w:rsidRDefault="00D537B8" w:rsidP="0077382E">
      <w:pPr>
        <w:shd w:val="clear" w:color="auto" w:fill="FFFFFF"/>
        <w:spacing w:after="100" w:afterAutospacing="1" w:line="240" w:lineRule="auto"/>
        <w:outlineLvl w:val="1"/>
        <w:rPr>
          <w:rFonts w:ascii="Open Sans" w:eastAsia="Times New Roman" w:hAnsi="Open Sans" w:cs="Open Sans"/>
          <w:color w:val="212529"/>
          <w:sz w:val="28"/>
          <w:szCs w:val="28"/>
        </w:rPr>
      </w:pPr>
      <w:r>
        <w:rPr>
          <w:rFonts w:ascii="Open Sans" w:eastAsia="Times New Roman" w:hAnsi="Open Sans" w:cs="Open Sans"/>
          <w:color w:val="212529"/>
          <w:sz w:val="28"/>
          <w:szCs w:val="28"/>
        </w:rPr>
        <w:t>Guidance</w:t>
      </w:r>
    </w:p>
    <w:p w14:paraId="36AC1BF5" w14:textId="5EA68714" w:rsidR="00CC238A" w:rsidRPr="00CC238A" w:rsidRDefault="0077382E" w:rsidP="00CC238A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outlineLvl w:val="1"/>
        <w:rPr>
          <w:rFonts w:ascii="Open Sans" w:eastAsia="Times New Roman" w:hAnsi="Open Sans" w:cs="Open Sans"/>
          <w:color w:val="212529"/>
          <w:sz w:val="28"/>
          <w:szCs w:val="28"/>
        </w:rPr>
      </w:pPr>
      <w:r>
        <w:rPr>
          <w:rFonts w:ascii="Open Sans" w:eastAsia="Times New Roman" w:hAnsi="Open Sans" w:cs="Open Sans"/>
          <w:color w:val="212529"/>
          <w:sz w:val="24"/>
          <w:szCs w:val="24"/>
        </w:rPr>
        <w:t>Drug Court enabling documents includ</w:t>
      </w:r>
      <w:r w:rsidR="000714A1">
        <w:rPr>
          <w:rFonts w:ascii="Open Sans" w:eastAsia="Times New Roman" w:hAnsi="Open Sans" w:cs="Open Sans"/>
          <w:color w:val="212529"/>
          <w:sz w:val="24"/>
          <w:szCs w:val="24"/>
        </w:rPr>
        <w:t>ing</w:t>
      </w:r>
      <w:r>
        <w:rPr>
          <w:rFonts w:ascii="Open Sans" w:eastAsia="Times New Roman" w:hAnsi="Open Sans" w:cs="Open Sans"/>
          <w:color w:val="212529"/>
          <w:sz w:val="24"/>
          <w:szCs w:val="24"/>
        </w:rPr>
        <w:t xml:space="preserve"> policies, </w:t>
      </w:r>
      <w:r w:rsidR="000714A1">
        <w:rPr>
          <w:rFonts w:ascii="Open Sans" w:eastAsia="Times New Roman" w:hAnsi="Open Sans" w:cs="Open Sans"/>
          <w:color w:val="212529"/>
          <w:sz w:val="24"/>
          <w:szCs w:val="24"/>
        </w:rPr>
        <w:t xml:space="preserve">blank </w:t>
      </w:r>
      <w:r>
        <w:rPr>
          <w:rFonts w:ascii="Open Sans" w:eastAsia="Times New Roman" w:hAnsi="Open Sans" w:cs="Open Sans"/>
          <w:color w:val="212529"/>
          <w:sz w:val="24"/>
          <w:szCs w:val="24"/>
        </w:rPr>
        <w:t xml:space="preserve">participant contracts, </w:t>
      </w:r>
      <w:r w:rsidR="00A536B4">
        <w:rPr>
          <w:rFonts w:ascii="Open Sans" w:eastAsia="Times New Roman" w:hAnsi="Open Sans" w:cs="Open Sans"/>
          <w:color w:val="212529"/>
          <w:sz w:val="24"/>
          <w:szCs w:val="24"/>
        </w:rPr>
        <w:t xml:space="preserve">memorandums of understandings, </w:t>
      </w:r>
      <w:r w:rsidR="00AA0122">
        <w:rPr>
          <w:rFonts w:ascii="Open Sans" w:eastAsia="Times New Roman" w:hAnsi="Open Sans" w:cs="Open Sans"/>
          <w:color w:val="212529"/>
          <w:sz w:val="24"/>
          <w:szCs w:val="24"/>
        </w:rPr>
        <w:t xml:space="preserve">and other guiding documents should be maintained in a central location. When a guiding document is updated, the previous version </w:t>
      </w:r>
      <w:r w:rsidR="00B5380D">
        <w:rPr>
          <w:rFonts w:ascii="Open Sans" w:eastAsia="Times New Roman" w:hAnsi="Open Sans" w:cs="Open Sans"/>
          <w:color w:val="212529"/>
          <w:sz w:val="24"/>
          <w:szCs w:val="24"/>
        </w:rPr>
        <w:t>must</w:t>
      </w:r>
      <w:r w:rsidR="00AA0122">
        <w:rPr>
          <w:rFonts w:ascii="Open Sans" w:eastAsia="Times New Roman" w:hAnsi="Open Sans" w:cs="Open Sans"/>
          <w:color w:val="212529"/>
          <w:sz w:val="24"/>
          <w:szCs w:val="24"/>
        </w:rPr>
        <w:t xml:space="preserve"> be maintained for four (4) years</w:t>
      </w:r>
      <w:r w:rsidR="00B5380D">
        <w:rPr>
          <w:rFonts w:ascii="Open Sans" w:eastAsia="Times New Roman" w:hAnsi="Open Sans" w:cs="Open Sans"/>
          <w:color w:val="212529"/>
          <w:sz w:val="24"/>
          <w:szCs w:val="24"/>
        </w:rPr>
        <w:t xml:space="preserve"> (</w:t>
      </w:r>
      <w:r w:rsidR="00B5380D" w:rsidRPr="00B5380D">
        <w:rPr>
          <w:rFonts w:ascii="Open Sans" w:eastAsia="Times New Roman" w:hAnsi="Open Sans" w:cs="Open Sans"/>
          <w:i/>
          <w:iCs/>
          <w:color w:val="212529"/>
          <w:sz w:val="24"/>
          <w:szCs w:val="24"/>
        </w:rPr>
        <w:t>11</w:t>
      </w:r>
      <w:r w:rsidR="00B5380D">
        <w:rPr>
          <w:rFonts w:ascii="Open Sans" w:eastAsia="Times New Roman" w:hAnsi="Open Sans" w:cs="Open Sans"/>
          <w:color w:val="212529"/>
          <w:sz w:val="24"/>
          <w:szCs w:val="24"/>
        </w:rPr>
        <w:t>)</w:t>
      </w:r>
      <w:r w:rsidR="00AA0122">
        <w:rPr>
          <w:rFonts w:ascii="Open Sans" w:eastAsia="Times New Roman" w:hAnsi="Open Sans" w:cs="Open Sans"/>
          <w:color w:val="212529"/>
          <w:sz w:val="24"/>
          <w:szCs w:val="24"/>
        </w:rPr>
        <w:t>.</w:t>
      </w:r>
    </w:p>
    <w:p w14:paraId="2873C24C" w14:textId="021E8F8F" w:rsidR="00A536B4" w:rsidRPr="00A536B4" w:rsidRDefault="00AA0122" w:rsidP="00A536B4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outlineLvl w:val="1"/>
        <w:rPr>
          <w:rFonts w:ascii="Open Sans" w:eastAsia="Times New Roman" w:hAnsi="Open Sans" w:cs="Open Sans"/>
          <w:color w:val="212529"/>
          <w:sz w:val="28"/>
          <w:szCs w:val="28"/>
        </w:rPr>
      </w:pPr>
      <w:r w:rsidRPr="00AA0122">
        <w:rPr>
          <w:rFonts w:ascii="Open Sans" w:eastAsia="Times New Roman" w:hAnsi="Open Sans" w:cs="Open Sans"/>
          <w:color w:val="212529"/>
          <w:sz w:val="24"/>
          <w:szCs w:val="24"/>
        </w:rPr>
        <w:t xml:space="preserve">All information about </w:t>
      </w:r>
      <w:r>
        <w:rPr>
          <w:rFonts w:ascii="Open Sans" w:eastAsia="Times New Roman" w:hAnsi="Open Sans" w:cs="Open Sans"/>
          <w:color w:val="212529"/>
          <w:sz w:val="24"/>
          <w:szCs w:val="24"/>
        </w:rPr>
        <w:t>a</w:t>
      </w:r>
      <w:r w:rsidRPr="00AA0122">
        <w:rPr>
          <w:rFonts w:ascii="Open Sans" w:eastAsia="Times New Roman" w:hAnsi="Open Sans" w:cs="Open Sans"/>
          <w:color w:val="212529"/>
          <w:sz w:val="24"/>
          <w:szCs w:val="24"/>
        </w:rPr>
        <w:t xml:space="preserve"> client in the case management system should be maintained for a minimum of</w:t>
      </w:r>
      <w:r>
        <w:rPr>
          <w:rFonts w:ascii="Open Sans" w:eastAsia="Times New Roman" w:hAnsi="Open Sans" w:cs="Open Sans"/>
          <w:color w:val="212529"/>
          <w:sz w:val="24"/>
          <w:szCs w:val="24"/>
        </w:rPr>
        <w:t xml:space="preserve"> ten (</w:t>
      </w:r>
      <w:r w:rsidRPr="00AA0122">
        <w:rPr>
          <w:rFonts w:ascii="Open Sans" w:eastAsia="Times New Roman" w:hAnsi="Open Sans" w:cs="Open Sans"/>
          <w:color w:val="212529"/>
          <w:sz w:val="24"/>
          <w:szCs w:val="24"/>
        </w:rPr>
        <w:t>10</w:t>
      </w:r>
      <w:r>
        <w:rPr>
          <w:rFonts w:ascii="Open Sans" w:eastAsia="Times New Roman" w:hAnsi="Open Sans" w:cs="Open Sans"/>
          <w:color w:val="212529"/>
          <w:sz w:val="24"/>
          <w:szCs w:val="24"/>
        </w:rPr>
        <w:t>)</w:t>
      </w:r>
      <w:r w:rsidRPr="00AA0122">
        <w:rPr>
          <w:rFonts w:ascii="Open Sans" w:eastAsia="Times New Roman" w:hAnsi="Open Sans" w:cs="Open Sans"/>
          <w:color w:val="212529"/>
          <w:sz w:val="24"/>
          <w:szCs w:val="24"/>
        </w:rPr>
        <w:t xml:space="preserve"> years after the client has been discharged. Maintaining these records within a case management </w:t>
      </w:r>
      <w:r w:rsidR="000714A1">
        <w:rPr>
          <w:rFonts w:ascii="Open Sans" w:eastAsia="Times New Roman" w:hAnsi="Open Sans" w:cs="Open Sans"/>
          <w:color w:val="212529"/>
          <w:sz w:val="24"/>
          <w:szCs w:val="24"/>
        </w:rPr>
        <w:t>system</w:t>
      </w:r>
      <w:r w:rsidR="00B5380D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Pr="00AA0122">
        <w:rPr>
          <w:rFonts w:ascii="Open Sans" w:eastAsia="Times New Roman" w:hAnsi="Open Sans" w:cs="Open Sans"/>
          <w:color w:val="212529"/>
          <w:sz w:val="24"/>
          <w:szCs w:val="24"/>
        </w:rPr>
        <w:t>for longer than 10 years is appropriate</w:t>
      </w:r>
      <w:r w:rsidR="000714A1">
        <w:rPr>
          <w:rFonts w:ascii="Open Sans" w:eastAsia="Times New Roman" w:hAnsi="Open Sans" w:cs="Open Sans"/>
          <w:color w:val="212529"/>
          <w:sz w:val="24"/>
          <w:szCs w:val="24"/>
        </w:rPr>
        <w:t xml:space="preserve"> as the information may be used for evaluations or as part of a relapse prevention program</w:t>
      </w:r>
      <w:r w:rsidR="00B5380D">
        <w:rPr>
          <w:rFonts w:ascii="Open Sans" w:eastAsia="Times New Roman" w:hAnsi="Open Sans" w:cs="Open Sans"/>
          <w:color w:val="212529"/>
          <w:sz w:val="24"/>
          <w:szCs w:val="24"/>
        </w:rPr>
        <w:t xml:space="preserve"> (</w:t>
      </w:r>
      <w:r w:rsidR="00B5380D" w:rsidRPr="00B5380D">
        <w:rPr>
          <w:rFonts w:ascii="Open Sans" w:eastAsia="Times New Roman" w:hAnsi="Open Sans" w:cs="Open Sans"/>
          <w:i/>
          <w:iCs/>
          <w:color w:val="212529"/>
          <w:sz w:val="24"/>
          <w:szCs w:val="24"/>
        </w:rPr>
        <w:t>36</w:t>
      </w:r>
      <w:r w:rsidR="00B5380D">
        <w:rPr>
          <w:rFonts w:ascii="Open Sans" w:eastAsia="Times New Roman" w:hAnsi="Open Sans" w:cs="Open Sans"/>
          <w:color w:val="212529"/>
          <w:sz w:val="24"/>
          <w:szCs w:val="24"/>
        </w:rPr>
        <w:t>)</w:t>
      </w:r>
      <w:r w:rsidRPr="00AA0122">
        <w:rPr>
          <w:rFonts w:ascii="Open Sans" w:eastAsia="Times New Roman" w:hAnsi="Open Sans" w:cs="Open Sans"/>
          <w:color w:val="212529"/>
          <w:sz w:val="24"/>
          <w:szCs w:val="24"/>
        </w:rPr>
        <w:t xml:space="preserve">. </w:t>
      </w:r>
      <w:r w:rsidR="00A536B4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</w:p>
    <w:p w14:paraId="49A74F36" w14:textId="6D902F94" w:rsidR="00A536B4" w:rsidRPr="00B5380D" w:rsidRDefault="00A536B4" w:rsidP="00A536B4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outlineLvl w:val="1"/>
        <w:rPr>
          <w:rFonts w:ascii="Open Sans" w:eastAsia="Times New Roman" w:hAnsi="Open Sans" w:cs="Open Sans"/>
          <w:color w:val="212529"/>
          <w:sz w:val="28"/>
          <w:szCs w:val="28"/>
        </w:rPr>
      </w:pPr>
      <w:r>
        <w:rPr>
          <w:rFonts w:ascii="Open Sans" w:eastAsia="Times New Roman" w:hAnsi="Open Sans" w:cs="Open Sans"/>
          <w:color w:val="212529"/>
          <w:sz w:val="24"/>
          <w:szCs w:val="24"/>
        </w:rPr>
        <w:t xml:space="preserve">Client files in paper form are subject to the same retention schedule. However, </w:t>
      </w:r>
      <w:r w:rsidR="00B5380D">
        <w:rPr>
          <w:rFonts w:ascii="Open Sans" w:eastAsia="Times New Roman" w:hAnsi="Open Sans" w:cs="Open Sans"/>
          <w:color w:val="212529"/>
          <w:sz w:val="24"/>
          <w:szCs w:val="24"/>
        </w:rPr>
        <w:t>to</w:t>
      </w:r>
      <w:r>
        <w:rPr>
          <w:rFonts w:ascii="Open Sans" w:eastAsia="Times New Roman" w:hAnsi="Open Sans" w:cs="Open Sans"/>
          <w:color w:val="212529"/>
          <w:sz w:val="24"/>
          <w:szCs w:val="24"/>
        </w:rPr>
        <w:t xml:space="preserve"> protect client confidentiality, e-mails </w:t>
      </w:r>
      <w:r w:rsidR="000714A1">
        <w:rPr>
          <w:rFonts w:ascii="Open Sans" w:eastAsia="Times New Roman" w:hAnsi="Open Sans" w:cs="Open Sans"/>
          <w:color w:val="212529"/>
          <w:sz w:val="24"/>
          <w:szCs w:val="24"/>
        </w:rPr>
        <w:t xml:space="preserve">and paper documents </w:t>
      </w:r>
      <w:r>
        <w:rPr>
          <w:rFonts w:ascii="Open Sans" w:eastAsia="Times New Roman" w:hAnsi="Open Sans" w:cs="Open Sans"/>
          <w:color w:val="212529"/>
          <w:sz w:val="24"/>
          <w:szCs w:val="24"/>
        </w:rPr>
        <w:t xml:space="preserve">about individual clients should be in a single </w:t>
      </w:r>
      <w:r w:rsidR="00B5380D">
        <w:rPr>
          <w:rFonts w:ascii="Open Sans" w:eastAsia="Times New Roman" w:hAnsi="Open Sans" w:cs="Open Sans"/>
          <w:color w:val="212529"/>
          <w:sz w:val="24"/>
          <w:szCs w:val="24"/>
        </w:rPr>
        <w:t xml:space="preserve">paper </w:t>
      </w:r>
      <w:r>
        <w:rPr>
          <w:rFonts w:ascii="Open Sans" w:eastAsia="Times New Roman" w:hAnsi="Open Sans" w:cs="Open Sans"/>
          <w:color w:val="212529"/>
          <w:sz w:val="24"/>
          <w:szCs w:val="24"/>
        </w:rPr>
        <w:t xml:space="preserve">file with </w:t>
      </w:r>
      <w:r w:rsidR="000714A1">
        <w:rPr>
          <w:rFonts w:ascii="Open Sans" w:eastAsia="Times New Roman" w:hAnsi="Open Sans" w:cs="Open Sans"/>
          <w:color w:val="212529"/>
          <w:sz w:val="24"/>
          <w:szCs w:val="24"/>
        </w:rPr>
        <w:t xml:space="preserve">access limited to people with the authority to know about individual clients.  </w:t>
      </w:r>
      <w:r w:rsidR="00CC238A">
        <w:rPr>
          <w:rFonts w:ascii="Open Sans" w:eastAsia="Times New Roman" w:hAnsi="Open Sans" w:cs="Open Sans"/>
          <w:color w:val="212529"/>
          <w:sz w:val="24"/>
          <w:szCs w:val="24"/>
        </w:rPr>
        <w:t xml:space="preserve">Client file information may include but is not limited to screening documents, assessments, </w:t>
      </w:r>
      <w:proofErr w:type="gramStart"/>
      <w:r w:rsidR="00CC238A">
        <w:rPr>
          <w:rFonts w:ascii="Open Sans" w:eastAsia="Times New Roman" w:hAnsi="Open Sans" w:cs="Open Sans"/>
          <w:color w:val="212529"/>
          <w:sz w:val="24"/>
          <w:szCs w:val="24"/>
        </w:rPr>
        <w:t>progress</w:t>
      </w:r>
      <w:proofErr w:type="gramEnd"/>
      <w:r w:rsidR="00CC238A">
        <w:rPr>
          <w:rFonts w:ascii="Open Sans" w:eastAsia="Times New Roman" w:hAnsi="Open Sans" w:cs="Open Sans"/>
          <w:color w:val="212529"/>
          <w:sz w:val="24"/>
          <w:szCs w:val="24"/>
        </w:rPr>
        <w:t xml:space="preserve"> and staffing reports. At the end of the 10</w:t>
      </w:r>
      <w:r w:rsidR="00A50D8C">
        <w:rPr>
          <w:rFonts w:ascii="Open Sans" w:eastAsia="Times New Roman" w:hAnsi="Open Sans" w:cs="Open Sans"/>
          <w:color w:val="212529"/>
          <w:sz w:val="24"/>
          <w:szCs w:val="24"/>
        </w:rPr>
        <w:t>-</w:t>
      </w:r>
      <w:r w:rsidR="00CC238A">
        <w:rPr>
          <w:rFonts w:ascii="Open Sans" w:eastAsia="Times New Roman" w:hAnsi="Open Sans" w:cs="Open Sans"/>
          <w:color w:val="212529"/>
          <w:sz w:val="24"/>
          <w:szCs w:val="24"/>
        </w:rPr>
        <w:t xml:space="preserve">year period, client files must be destroyed. </w:t>
      </w:r>
    </w:p>
    <w:p w14:paraId="136AD574" w14:textId="1012A80A" w:rsidR="00B5380D" w:rsidRPr="00A536B4" w:rsidRDefault="00B5380D" w:rsidP="00A536B4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outlineLvl w:val="1"/>
        <w:rPr>
          <w:rFonts w:ascii="Open Sans" w:eastAsia="Times New Roman" w:hAnsi="Open Sans" w:cs="Open Sans"/>
          <w:color w:val="212529"/>
          <w:sz w:val="28"/>
          <w:szCs w:val="28"/>
        </w:rPr>
      </w:pPr>
      <w:r>
        <w:rPr>
          <w:rFonts w:ascii="Open Sans" w:eastAsia="Times New Roman" w:hAnsi="Open Sans" w:cs="Open Sans"/>
          <w:color w:val="212529"/>
          <w:sz w:val="24"/>
          <w:szCs w:val="24"/>
        </w:rPr>
        <w:t>Evaluations and peer reviews must be retained centrally by the statewide Drug Court Coordinator for a minimum of eight (8) years (</w:t>
      </w:r>
      <w:r w:rsidRPr="00B5380D">
        <w:rPr>
          <w:rFonts w:ascii="Open Sans" w:eastAsia="Times New Roman" w:hAnsi="Open Sans" w:cs="Open Sans"/>
          <w:i/>
          <w:iCs/>
          <w:color w:val="212529"/>
          <w:sz w:val="24"/>
          <w:szCs w:val="24"/>
        </w:rPr>
        <w:t>39</w:t>
      </w:r>
      <w:r>
        <w:rPr>
          <w:rFonts w:ascii="Open Sans" w:eastAsia="Times New Roman" w:hAnsi="Open Sans" w:cs="Open Sans"/>
          <w:color w:val="212529"/>
          <w:sz w:val="24"/>
          <w:szCs w:val="24"/>
        </w:rPr>
        <w:t xml:space="preserve">). </w:t>
      </w:r>
    </w:p>
    <w:p w14:paraId="2724202C" w14:textId="47BB3835" w:rsidR="00A536B4" w:rsidRPr="00A536B4" w:rsidRDefault="00AA0122" w:rsidP="00AA0122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outlineLvl w:val="1"/>
        <w:rPr>
          <w:rFonts w:ascii="Open Sans" w:eastAsia="Times New Roman" w:hAnsi="Open Sans" w:cs="Open Sans"/>
          <w:color w:val="212529"/>
          <w:sz w:val="28"/>
          <w:szCs w:val="28"/>
        </w:rPr>
      </w:pPr>
      <w:r w:rsidRPr="00AA0122">
        <w:rPr>
          <w:rFonts w:ascii="Open Sans" w:eastAsia="Times New Roman" w:hAnsi="Open Sans" w:cs="Open Sans"/>
          <w:color w:val="212529"/>
          <w:sz w:val="24"/>
          <w:szCs w:val="24"/>
        </w:rPr>
        <w:t>Grant and financial support information (such as incentive and gas card logs</w:t>
      </w:r>
      <w:r w:rsidR="00CC238A">
        <w:rPr>
          <w:rFonts w:ascii="Open Sans" w:eastAsia="Times New Roman" w:hAnsi="Open Sans" w:cs="Open Sans"/>
          <w:color w:val="212529"/>
          <w:sz w:val="24"/>
          <w:szCs w:val="24"/>
        </w:rPr>
        <w:t>, invoices, etc.</w:t>
      </w:r>
      <w:r w:rsidRPr="00AA0122">
        <w:rPr>
          <w:rFonts w:ascii="Open Sans" w:eastAsia="Times New Roman" w:hAnsi="Open Sans" w:cs="Open Sans"/>
          <w:color w:val="212529"/>
          <w:sz w:val="24"/>
          <w:szCs w:val="24"/>
        </w:rPr>
        <w:t xml:space="preserve">) must be maintained in a central location for six (6) years. </w:t>
      </w:r>
      <w:r w:rsidR="00A536B4">
        <w:rPr>
          <w:rFonts w:ascii="Open Sans" w:eastAsia="Times New Roman" w:hAnsi="Open Sans" w:cs="Open Sans"/>
          <w:color w:val="212529"/>
          <w:sz w:val="24"/>
          <w:szCs w:val="24"/>
        </w:rPr>
        <w:t xml:space="preserve">The Judicial Branch Fiscal Services’ Office </w:t>
      </w:r>
      <w:r w:rsidR="00CC238A">
        <w:rPr>
          <w:rFonts w:ascii="Open Sans" w:eastAsia="Times New Roman" w:hAnsi="Open Sans" w:cs="Open Sans"/>
          <w:color w:val="212529"/>
          <w:sz w:val="24"/>
          <w:szCs w:val="24"/>
        </w:rPr>
        <w:t>will</w:t>
      </w:r>
      <w:r w:rsidR="00A536B4">
        <w:rPr>
          <w:rFonts w:ascii="Open Sans" w:eastAsia="Times New Roman" w:hAnsi="Open Sans" w:cs="Open Sans"/>
          <w:color w:val="212529"/>
          <w:sz w:val="24"/>
          <w:szCs w:val="24"/>
        </w:rPr>
        <w:t xml:space="preserve"> provide additional guidance on specific financial records. </w:t>
      </w:r>
    </w:p>
    <w:p w14:paraId="72A3BB06" w14:textId="1D32A384" w:rsidR="00AA0122" w:rsidRPr="00CC238A" w:rsidRDefault="000714A1" w:rsidP="000714A1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outlineLvl w:val="1"/>
        <w:rPr>
          <w:rFonts w:ascii="Open Sans" w:eastAsia="Times New Roman" w:hAnsi="Open Sans" w:cs="Open Sans"/>
          <w:color w:val="212529"/>
          <w:sz w:val="28"/>
          <w:szCs w:val="28"/>
        </w:rPr>
      </w:pPr>
      <w:r>
        <w:rPr>
          <w:rFonts w:ascii="Open Sans" w:eastAsia="Times New Roman" w:hAnsi="Open Sans" w:cs="Open Sans"/>
          <w:color w:val="212529"/>
          <w:sz w:val="24"/>
          <w:szCs w:val="24"/>
        </w:rPr>
        <w:lastRenderedPageBreak/>
        <w:t xml:space="preserve">Formal court files prepared and maintained by the Clerk of the Court are not subject to this guidance. </w:t>
      </w:r>
      <w:r w:rsidR="00A536B4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="00CC238A">
        <w:rPr>
          <w:rFonts w:ascii="Open Sans" w:eastAsia="Times New Roman" w:hAnsi="Open Sans" w:cs="Open Sans"/>
          <w:color w:val="212529"/>
          <w:sz w:val="24"/>
          <w:szCs w:val="24"/>
        </w:rPr>
        <w:t xml:space="preserve">The District Court Uniform Case Filing Standards govern retention standards for formal court files. </w:t>
      </w:r>
    </w:p>
    <w:p w14:paraId="3308CAAD" w14:textId="241DBB2C" w:rsidR="00CC238A" w:rsidRPr="000714A1" w:rsidRDefault="00CC238A" w:rsidP="000714A1">
      <w:pPr>
        <w:pStyle w:val="ListParagraph"/>
        <w:numPr>
          <w:ilvl w:val="0"/>
          <w:numId w:val="12"/>
        </w:numPr>
        <w:shd w:val="clear" w:color="auto" w:fill="FFFFFF"/>
        <w:spacing w:after="100" w:afterAutospacing="1" w:line="240" w:lineRule="auto"/>
        <w:outlineLvl w:val="1"/>
        <w:rPr>
          <w:rFonts w:ascii="Open Sans" w:eastAsia="Times New Roman" w:hAnsi="Open Sans" w:cs="Open Sans"/>
          <w:color w:val="212529"/>
          <w:sz w:val="28"/>
          <w:szCs w:val="28"/>
        </w:rPr>
      </w:pPr>
      <w:r>
        <w:rPr>
          <w:rFonts w:ascii="Open Sans" w:eastAsia="Times New Roman" w:hAnsi="Open Sans" w:cs="Open Sans"/>
          <w:color w:val="212529"/>
          <w:sz w:val="24"/>
          <w:szCs w:val="24"/>
        </w:rPr>
        <w:t xml:space="preserve">Courts serving District Court but administratively attached to local governments will comply with all local government policies in addition to this policy. </w:t>
      </w:r>
    </w:p>
    <w:p w14:paraId="70BDE66C" w14:textId="0E638710" w:rsidR="000714A1" w:rsidRPr="00687286" w:rsidRDefault="000714A1" w:rsidP="000714A1">
      <w:pPr>
        <w:shd w:val="clear" w:color="auto" w:fill="FFFFFF"/>
        <w:spacing w:after="100" w:afterAutospacing="1" w:line="240" w:lineRule="auto"/>
        <w:outlineLvl w:val="1"/>
        <w:rPr>
          <w:rFonts w:ascii="Open Sans" w:eastAsia="Times New Roman" w:hAnsi="Open Sans" w:cs="Open Sans"/>
          <w:i/>
          <w:iCs/>
          <w:color w:val="212529"/>
          <w:sz w:val="24"/>
          <w:szCs w:val="24"/>
        </w:rPr>
      </w:pPr>
      <w:r w:rsidRPr="00687286">
        <w:rPr>
          <w:rFonts w:ascii="Open Sans" w:eastAsia="Times New Roman" w:hAnsi="Open Sans" w:cs="Open Sans"/>
          <w:i/>
          <w:iCs/>
          <w:color w:val="212529"/>
          <w:sz w:val="24"/>
          <w:szCs w:val="24"/>
        </w:rPr>
        <w:t xml:space="preserve">Questions about the records retention guidance should be directed to the statewide Drug Court Coordinator. </w:t>
      </w:r>
    </w:p>
    <w:bookmarkEnd w:id="0"/>
    <w:sectPr w:rsidR="000714A1" w:rsidRPr="00687286" w:rsidSect="00476B72">
      <w:footerReference w:type="default" r:id="rId7"/>
      <w:pgSz w:w="12240" w:h="15840"/>
      <w:pgMar w:top="1440" w:right="1440" w:bottom="144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2753E" w14:textId="77777777" w:rsidR="00476B72" w:rsidRDefault="00476B72" w:rsidP="00476B72">
      <w:pPr>
        <w:spacing w:after="0" w:line="240" w:lineRule="auto"/>
      </w:pPr>
      <w:r>
        <w:separator/>
      </w:r>
    </w:p>
  </w:endnote>
  <w:endnote w:type="continuationSeparator" w:id="0">
    <w:p w14:paraId="4B36F0EC" w14:textId="77777777" w:rsidR="00476B72" w:rsidRDefault="00476B72" w:rsidP="0047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4977" w14:textId="6B64833C" w:rsidR="00476B72" w:rsidRDefault="00A50D8C">
    <w:pPr>
      <w:pStyle w:val="Footer"/>
    </w:pPr>
    <w:r>
      <w:rPr>
        <w:i/>
        <w:iCs/>
      </w:rPr>
      <w:t xml:space="preserve">November 2022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6DA40" w14:textId="77777777" w:rsidR="00476B72" w:rsidRDefault="00476B72" w:rsidP="00476B72">
      <w:pPr>
        <w:spacing w:after="0" w:line="240" w:lineRule="auto"/>
      </w:pPr>
      <w:r>
        <w:separator/>
      </w:r>
    </w:p>
  </w:footnote>
  <w:footnote w:type="continuationSeparator" w:id="0">
    <w:p w14:paraId="4F648ECF" w14:textId="77777777" w:rsidR="00476B72" w:rsidRDefault="00476B72" w:rsidP="00476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0826"/>
    <w:multiLevelType w:val="hybridMultilevel"/>
    <w:tmpl w:val="A97457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80D59"/>
    <w:multiLevelType w:val="hybridMultilevel"/>
    <w:tmpl w:val="8E5A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16B8"/>
    <w:multiLevelType w:val="hybridMultilevel"/>
    <w:tmpl w:val="7C6821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B15CC8"/>
    <w:multiLevelType w:val="hybridMultilevel"/>
    <w:tmpl w:val="463E1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70E38"/>
    <w:multiLevelType w:val="hybridMultilevel"/>
    <w:tmpl w:val="3D1CC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62053"/>
    <w:multiLevelType w:val="multilevel"/>
    <w:tmpl w:val="73F6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342E9"/>
    <w:multiLevelType w:val="hybridMultilevel"/>
    <w:tmpl w:val="29ACF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3459B"/>
    <w:multiLevelType w:val="hybridMultilevel"/>
    <w:tmpl w:val="72FA6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548E4"/>
    <w:multiLevelType w:val="multilevel"/>
    <w:tmpl w:val="2BAC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5636B8"/>
    <w:multiLevelType w:val="hybridMultilevel"/>
    <w:tmpl w:val="924E62C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2EF0D4B"/>
    <w:multiLevelType w:val="hybridMultilevel"/>
    <w:tmpl w:val="43EE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9423E"/>
    <w:multiLevelType w:val="hybridMultilevel"/>
    <w:tmpl w:val="301E3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923321">
    <w:abstractNumId w:val="8"/>
  </w:num>
  <w:num w:numId="2" w16cid:durableId="1430541311">
    <w:abstractNumId w:val="5"/>
  </w:num>
  <w:num w:numId="3" w16cid:durableId="293633434">
    <w:abstractNumId w:val="10"/>
  </w:num>
  <w:num w:numId="4" w16cid:durableId="1788234716">
    <w:abstractNumId w:val="6"/>
  </w:num>
  <w:num w:numId="5" w16cid:durableId="2004771292">
    <w:abstractNumId w:val="9"/>
  </w:num>
  <w:num w:numId="6" w16cid:durableId="1204709318">
    <w:abstractNumId w:val="2"/>
  </w:num>
  <w:num w:numId="7" w16cid:durableId="883558646">
    <w:abstractNumId w:val="0"/>
  </w:num>
  <w:num w:numId="8" w16cid:durableId="326178793">
    <w:abstractNumId w:val="1"/>
  </w:num>
  <w:num w:numId="9" w16cid:durableId="1879924886">
    <w:abstractNumId w:val="3"/>
  </w:num>
  <w:num w:numId="10" w16cid:durableId="104154236">
    <w:abstractNumId w:val="7"/>
  </w:num>
  <w:num w:numId="11" w16cid:durableId="1462571606">
    <w:abstractNumId w:val="4"/>
  </w:num>
  <w:num w:numId="12" w16cid:durableId="7895171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83"/>
    <w:rsid w:val="000714A1"/>
    <w:rsid w:val="0011628C"/>
    <w:rsid w:val="00137F5B"/>
    <w:rsid w:val="00182B3A"/>
    <w:rsid w:val="0022441E"/>
    <w:rsid w:val="00237EE5"/>
    <w:rsid w:val="00301ADC"/>
    <w:rsid w:val="00397BC8"/>
    <w:rsid w:val="00452B48"/>
    <w:rsid w:val="00476B72"/>
    <w:rsid w:val="004867CB"/>
    <w:rsid w:val="004D012E"/>
    <w:rsid w:val="00504F79"/>
    <w:rsid w:val="00612B19"/>
    <w:rsid w:val="0066571F"/>
    <w:rsid w:val="006838E3"/>
    <w:rsid w:val="00687286"/>
    <w:rsid w:val="0077382E"/>
    <w:rsid w:val="009502F9"/>
    <w:rsid w:val="00991C07"/>
    <w:rsid w:val="009A1AE7"/>
    <w:rsid w:val="00A50D8C"/>
    <w:rsid w:val="00A536B4"/>
    <w:rsid w:val="00AA0122"/>
    <w:rsid w:val="00AB7AA9"/>
    <w:rsid w:val="00AE210D"/>
    <w:rsid w:val="00B00718"/>
    <w:rsid w:val="00B07E17"/>
    <w:rsid w:val="00B16FA0"/>
    <w:rsid w:val="00B5380D"/>
    <w:rsid w:val="00BA7383"/>
    <w:rsid w:val="00BB2214"/>
    <w:rsid w:val="00CC238A"/>
    <w:rsid w:val="00CD5FEF"/>
    <w:rsid w:val="00D147FD"/>
    <w:rsid w:val="00D537B8"/>
    <w:rsid w:val="00DA7018"/>
    <w:rsid w:val="00E37AC6"/>
    <w:rsid w:val="00ED7891"/>
    <w:rsid w:val="00F3200E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01AF1"/>
  <w15:chartTrackingRefBased/>
  <w15:docId w15:val="{356C6C4D-59BB-4835-81C4-99F16BEC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738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738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838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6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B72"/>
  </w:style>
  <w:style w:type="paragraph" w:styleId="Footer">
    <w:name w:val="footer"/>
    <w:basedOn w:val="Normal"/>
    <w:link w:val="FooterChar"/>
    <w:uiPriority w:val="99"/>
    <w:unhideWhenUsed/>
    <w:rsid w:val="00476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McLaughlin, Beth</dc:creator>
  <cp:keywords/>
  <dc:description/>
  <cp:lastModifiedBy>McLaughlin, Beth</cp:lastModifiedBy>
  <cp:revision>4</cp:revision>
  <cp:lastPrinted>2022-07-11T19:52:00Z</cp:lastPrinted>
  <dcterms:created xsi:type="dcterms:W3CDTF">2022-07-11T19:55:00Z</dcterms:created>
  <dcterms:modified xsi:type="dcterms:W3CDTF">2022-11-22T16:46:00Z</dcterms:modified>
</cp:coreProperties>
</file>