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E152E" w14:textId="7DF860A9" w:rsidR="00500358" w:rsidRPr="003A0C6D" w:rsidRDefault="00500358" w:rsidP="003A0C6D">
      <w:pPr>
        <w:jc w:val="center"/>
        <w:rPr>
          <w:rFonts w:cs="Arial"/>
          <w:b/>
          <w:sz w:val="28"/>
          <w:szCs w:val="28"/>
        </w:rPr>
      </w:pPr>
      <w:r w:rsidRPr="003A0C6D">
        <w:rPr>
          <w:rFonts w:cs="Arial"/>
          <w:b/>
          <w:sz w:val="28"/>
          <w:szCs w:val="28"/>
        </w:rPr>
        <w:t>Montana Judicial Branch</w:t>
      </w:r>
    </w:p>
    <w:p w14:paraId="3E3F73DB" w14:textId="5919C348" w:rsidR="00500358" w:rsidRPr="003A0C6D" w:rsidRDefault="00500358" w:rsidP="003A0C6D">
      <w:pPr>
        <w:jc w:val="center"/>
        <w:rPr>
          <w:rFonts w:cs="Arial"/>
          <w:b/>
          <w:sz w:val="28"/>
          <w:szCs w:val="28"/>
        </w:rPr>
      </w:pPr>
      <w:r w:rsidRPr="003A0C6D">
        <w:rPr>
          <w:rFonts w:cs="Arial"/>
          <w:b/>
          <w:sz w:val="28"/>
          <w:szCs w:val="28"/>
        </w:rPr>
        <w:t>Administrative Policies</w:t>
      </w:r>
    </w:p>
    <w:p w14:paraId="234C72D9" w14:textId="77777777" w:rsidR="00500358" w:rsidRDefault="00500358">
      <w:pPr>
        <w:rPr>
          <w:rFonts w:cs="Arial"/>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3870"/>
      </w:tblGrid>
      <w:tr w:rsidR="00500358" w14:paraId="65E708CF" w14:textId="77777777" w:rsidTr="005A1E44">
        <w:trPr>
          <w:trHeight w:val="360"/>
        </w:trPr>
        <w:tc>
          <w:tcPr>
            <w:tcW w:w="5688" w:type="dxa"/>
            <w:vAlign w:val="center"/>
          </w:tcPr>
          <w:p w14:paraId="46DEC3F3" w14:textId="6160E8AF" w:rsidR="00500358" w:rsidRDefault="00500358" w:rsidP="005A1E44">
            <w:pPr>
              <w:rPr>
                <w:rFonts w:cs="Arial"/>
                <w:b/>
              </w:rPr>
            </w:pPr>
            <w:r>
              <w:rPr>
                <w:rFonts w:cs="Arial"/>
                <w:b/>
              </w:rPr>
              <w:t xml:space="preserve">Subject:  </w:t>
            </w:r>
            <w:r w:rsidR="00B3272B">
              <w:rPr>
                <w:rFonts w:cs="Arial"/>
                <w:b/>
              </w:rPr>
              <w:t>Law Library</w:t>
            </w:r>
          </w:p>
        </w:tc>
        <w:tc>
          <w:tcPr>
            <w:tcW w:w="3870" w:type="dxa"/>
            <w:vAlign w:val="center"/>
          </w:tcPr>
          <w:p w14:paraId="6B10284D" w14:textId="26A0E085" w:rsidR="00500358" w:rsidRDefault="00500358" w:rsidP="005A1E44">
            <w:pPr>
              <w:rPr>
                <w:rFonts w:cs="Arial"/>
                <w:b/>
              </w:rPr>
            </w:pPr>
            <w:r>
              <w:rPr>
                <w:rFonts w:cs="Arial"/>
                <w:b/>
              </w:rPr>
              <w:t xml:space="preserve">Policy No.: </w:t>
            </w:r>
            <w:r w:rsidR="00B3272B">
              <w:rPr>
                <w:rFonts w:cs="Arial"/>
                <w:b/>
              </w:rPr>
              <w:t>1310</w:t>
            </w:r>
          </w:p>
        </w:tc>
      </w:tr>
      <w:tr w:rsidR="00500358" w14:paraId="31446911" w14:textId="77777777" w:rsidTr="005A1E44">
        <w:trPr>
          <w:trHeight w:val="360"/>
        </w:trPr>
        <w:tc>
          <w:tcPr>
            <w:tcW w:w="5688" w:type="dxa"/>
            <w:vAlign w:val="center"/>
          </w:tcPr>
          <w:p w14:paraId="6B49CA55" w14:textId="77777777" w:rsidR="00500358" w:rsidRDefault="00500358" w:rsidP="005A1E44">
            <w:pPr>
              <w:rPr>
                <w:rFonts w:cs="Arial"/>
                <w:b/>
              </w:rPr>
            </w:pPr>
            <w:r>
              <w:rPr>
                <w:rFonts w:cs="Arial"/>
                <w:b/>
              </w:rPr>
              <w:t xml:space="preserve">Chapter: </w:t>
            </w:r>
          </w:p>
        </w:tc>
        <w:tc>
          <w:tcPr>
            <w:tcW w:w="3870" w:type="dxa"/>
            <w:vAlign w:val="center"/>
          </w:tcPr>
          <w:p w14:paraId="08E4169E" w14:textId="77777777" w:rsidR="00500358" w:rsidRDefault="00500358" w:rsidP="005A1E44">
            <w:pPr>
              <w:rPr>
                <w:rFonts w:cs="Arial"/>
                <w:b/>
              </w:rPr>
            </w:pPr>
            <w:r>
              <w:rPr>
                <w:rFonts w:cs="Arial"/>
                <w:b/>
              </w:rPr>
              <w:t>Number of Pages:  2</w:t>
            </w:r>
          </w:p>
        </w:tc>
      </w:tr>
      <w:tr w:rsidR="00500358" w14:paraId="29CCB18E" w14:textId="77777777" w:rsidTr="005A1E44">
        <w:trPr>
          <w:trHeight w:val="360"/>
        </w:trPr>
        <w:tc>
          <w:tcPr>
            <w:tcW w:w="5688" w:type="dxa"/>
            <w:vAlign w:val="center"/>
          </w:tcPr>
          <w:p w14:paraId="287F7776" w14:textId="54B8BD22" w:rsidR="00500358" w:rsidRDefault="00500358" w:rsidP="005A1E44">
            <w:pPr>
              <w:rPr>
                <w:rFonts w:cs="Arial"/>
                <w:b/>
              </w:rPr>
            </w:pPr>
            <w:r>
              <w:rPr>
                <w:rFonts w:cs="Arial"/>
                <w:b/>
              </w:rPr>
              <w:t xml:space="preserve">Section:  </w:t>
            </w:r>
            <w:r w:rsidR="00B3272B">
              <w:rPr>
                <w:rFonts w:cs="Arial"/>
                <w:b/>
              </w:rPr>
              <w:t>Circulation</w:t>
            </w:r>
          </w:p>
        </w:tc>
        <w:tc>
          <w:tcPr>
            <w:tcW w:w="3870" w:type="dxa"/>
            <w:vAlign w:val="center"/>
          </w:tcPr>
          <w:p w14:paraId="3D16ABE1" w14:textId="0625F7F6" w:rsidR="00500358" w:rsidRPr="003A0C6D" w:rsidRDefault="00500358" w:rsidP="005A1E44">
            <w:pPr>
              <w:rPr>
                <w:rFonts w:cs="Arial"/>
                <w:b/>
              </w:rPr>
            </w:pPr>
            <w:r>
              <w:rPr>
                <w:rFonts w:cs="Arial"/>
                <w:b/>
              </w:rPr>
              <w:t>Revision Date:</w:t>
            </w:r>
            <w:r w:rsidR="003A0C6D">
              <w:rPr>
                <w:rFonts w:cs="Arial"/>
                <w:b/>
              </w:rPr>
              <w:t xml:space="preserve"> </w:t>
            </w:r>
          </w:p>
        </w:tc>
      </w:tr>
      <w:tr w:rsidR="00500358" w14:paraId="35FC6121" w14:textId="77777777" w:rsidTr="005A1E44">
        <w:trPr>
          <w:trHeight w:val="360"/>
        </w:trPr>
        <w:tc>
          <w:tcPr>
            <w:tcW w:w="5688" w:type="dxa"/>
            <w:vAlign w:val="center"/>
          </w:tcPr>
          <w:p w14:paraId="2CC44DC2" w14:textId="44FC15E7" w:rsidR="00500358" w:rsidRDefault="00500358" w:rsidP="005A1E44">
            <w:pPr>
              <w:rPr>
                <w:rFonts w:cs="Arial"/>
                <w:b/>
              </w:rPr>
            </w:pPr>
            <w:r>
              <w:rPr>
                <w:rFonts w:cs="Arial"/>
                <w:b/>
              </w:rPr>
              <w:t xml:space="preserve">Effective Date: </w:t>
            </w:r>
            <w:r w:rsidR="00F41150">
              <w:rPr>
                <w:rFonts w:cs="Arial"/>
                <w:b/>
              </w:rPr>
              <w:t>November 14, 2023</w:t>
            </w:r>
          </w:p>
        </w:tc>
        <w:tc>
          <w:tcPr>
            <w:tcW w:w="3870" w:type="dxa"/>
            <w:vAlign w:val="center"/>
          </w:tcPr>
          <w:p w14:paraId="01E7D5A9" w14:textId="77777777" w:rsidR="00500358" w:rsidRDefault="00500358" w:rsidP="005A1E44">
            <w:pPr>
              <w:rPr>
                <w:rFonts w:cs="Arial"/>
                <w:b/>
              </w:rPr>
            </w:pPr>
          </w:p>
        </w:tc>
      </w:tr>
    </w:tbl>
    <w:p w14:paraId="2E26F354" w14:textId="77777777" w:rsidR="00500358" w:rsidRDefault="00500358"/>
    <w:p w14:paraId="37EFD1E0" w14:textId="77777777" w:rsidR="00AB2854" w:rsidRDefault="00AB2854"/>
    <w:p w14:paraId="5E3A0CC9" w14:textId="0235D55D" w:rsidR="00B3272B" w:rsidRPr="00B3272B" w:rsidRDefault="00B3272B" w:rsidP="003024AD">
      <w:pPr>
        <w:pStyle w:val="Heading1"/>
      </w:pPr>
      <w:r w:rsidRPr="00B3272B">
        <w:t>Public Use</w:t>
      </w:r>
    </w:p>
    <w:p w14:paraId="740962CB" w14:textId="77777777" w:rsidR="00B3272B" w:rsidRPr="00B3272B" w:rsidRDefault="00B3272B" w:rsidP="00B3272B">
      <w:pPr>
        <w:pStyle w:val="ListParagraph"/>
        <w:spacing w:line="300" w:lineRule="atLeast"/>
        <w:ind w:left="360"/>
        <w:rPr>
          <w:rFonts w:cs="Arial"/>
          <w:spacing w:val="8"/>
        </w:rPr>
      </w:pPr>
    </w:p>
    <w:p w14:paraId="271FF58A" w14:textId="77777777" w:rsidR="00B3272B" w:rsidRPr="00B3272B" w:rsidRDefault="00B3272B" w:rsidP="00D8390C">
      <w:pPr>
        <w:pStyle w:val="Heading2"/>
        <w:numPr>
          <w:ilvl w:val="0"/>
          <w:numId w:val="0"/>
        </w:numPr>
        <w:ind w:left="360"/>
      </w:pPr>
      <w:r w:rsidRPr="00B3272B">
        <w:t>The Law Library’s services and resources are intended for legal information, educational, and research purposes. The Law Library and resources within the Library are available for in-library use by everyone.</w:t>
      </w:r>
    </w:p>
    <w:p w14:paraId="101B8946" w14:textId="77777777" w:rsidR="00B3272B" w:rsidRPr="00B3272B" w:rsidRDefault="00B3272B" w:rsidP="00B3272B">
      <w:pPr>
        <w:pStyle w:val="Heading2"/>
        <w:numPr>
          <w:ilvl w:val="0"/>
          <w:numId w:val="0"/>
        </w:numPr>
        <w:ind w:left="1080" w:hanging="540"/>
        <w:rPr>
          <w:b/>
        </w:rPr>
      </w:pPr>
    </w:p>
    <w:p w14:paraId="0B6E099D" w14:textId="77777777" w:rsidR="00B3272B" w:rsidRPr="00B3272B" w:rsidRDefault="00B3272B" w:rsidP="00B3272B">
      <w:pPr>
        <w:pStyle w:val="Heading1"/>
      </w:pPr>
      <w:r w:rsidRPr="00B3272B">
        <w:t xml:space="preserve">Borrowing Privileges </w:t>
      </w:r>
    </w:p>
    <w:p w14:paraId="177394F1" w14:textId="77777777" w:rsidR="00B3272B" w:rsidRPr="00B3272B" w:rsidRDefault="00B3272B" w:rsidP="00B3272B">
      <w:pPr>
        <w:spacing w:line="300" w:lineRule="atLeast"/>
        <w:rPr>
          <w:rFonts w:cs="Arial"/>
          <w:spacing w:val="8"/>
        </w:rPr>
      </w:pPr>
      <w:r w:rsidRPr="00B3272B">
        <w:rPr>
          <w:rFonts w:cs="Arial"/>
          <w:spacing w:val="8"/>
        </w:rPr>
        <w:t xml:space="preserve"> </w:t>
      </w:r>
    </w:p>
    <w:p w14:paraId="4825B146" w14:textId="2B705A8E" w:rsidR="00B3272B" w:rsidRDefault="00B3272B" w:rsidP="00F26AC4">
      <w:pPr>
        <w:pStyle w:val="Heading2"/>
        <w:tabs>
          <w:tab w:val="clear" w:pos="1080"/>
        </w:tabs>
        <w:ind w:left="900"/>
        <w:rPr>
          <w:shd w:val="clear" w:color="auto" w:fill="FFFFFF"/>
        </w:rPr>
      </w:pPr>
      <w:r w:rsidRPr="00B3272B">
        <w:t xml:space="preserve">Library cards and borrowing privileges </w:t>
      </w:r>
      <w:r w:rsidR="00BE1567">
        <w:t xml:space="preserve">(for both print and digital materials) </w:t>
      </w:r>
      <w:r w:rsidRPr="00B3272B">
        <w:t xml:space="preserve">are available to </w:t>
      </w:r>
      <w:r w:rsidRPr="00B3272B">
        <w:rPr>
          <w:shd w:val="clear" w:color="auto" w:fill="FFFFFF"/>
        </w:rPr>
        <w:t>members of the Montana Supreme Court, the members of the Montana Legislature, legislative staff, state officers and employees, members of the State Bar of Montana, and members of the bar associations of supreme courts of other states while in attendance before the Montana Supreme Court. Library cards and borrowing privileges may extend to retired members of the aforementioned categories.</w:t>
      </w:r>
    </w:p>
    <w:p w14:paraId="7D30B262" w14:textId="77777777" w:rsidR="004D13A8" w:rsidRDefault="004D13A8" w:rsidP="004D13A8"/>
    <w:p w14:paraId="68BADDFB" w14:textId="315A9714" w:rsidR="004D13A8" w:rsidRDefault="004D13A8" w:rsidP="004D13A8">
      <w:pPr>
        <w:pStyle w:val="Heading2"/>
        <w:tabs>
          <w:tab w:val="clear" w:pos="1080"/>
        </w:tabs>
        <w:ind w:left="900"/>
        <w:rPr>
          <w:shd w:val="clear" w:color="auto" w:fill="FFFFFF"/>
        </w:rPr>
      </w:pPr>
      <w:r w:rsidRPr="00B3272B">
        <w:t xml:space="preserve">Library cards </w:t>
      </w:r>
      <w:r w:rsidR="002C3553">
        <w:t xml:space="preserve">restricted to digital collections </w:t>
      </w:r>
      <w:r w:rsidR="00CC39EC">
        <w:t xml:space="preserve">and digital borrowing </w:t>
      </w:r>
      <w:r w:rsidR="002C3553">
        <w:t xml:space="preserve">are available to </w:t>
      </w:r>
      <w:r w:rsidR="00DF544C">
        <w:t xml:space="preserve">all </w:t>
      </w:r>
      <w:r w:rsidR="00CC39EC">
        <w:t xml:space="preserve">Montana </w:t>
      </w:r>
      <w:r w:rsidR="00DF544C">
        <w:t>citizens</w:t>
      </w:r>
      <w:r w:rsidR="00CC39EC">
        <w:t>.</w:t>
      </w:r>
      <w:r w:rsidR="00DF544C">
        <w:t xml:space="preserve"> </w:t>
      </w:r>
    </w:p>
    <w:p w14:paraId="690EAE75" w14:textId="77777777" w:rsidR="00B3272B" w:rsidRPr="00B3272B" w:rsidRDefault="00B3272B" w:rsidP="004D13A8">
      <w:pPr>
        <w:pStyle w:val="Heading2"/>
        <w:numPr>
          <w:ilvl w:val="0"/>
          <w:numId w:val="0"/>
        </w:numPr>
      </w:pPr>
    </w:p>
    <w:p w14:paraId="7347AB26" w14:textId="2045BBD1" w:rsidR="00B3272B" w:rsidRPr="00B3272B" w:rsidRDefault="00B3272B" w:rsidP="00F26AC4">
      <w:pPr>
        <w:pStyle w:val="Heading2"/>
        <w:tabs>
          <w:tab w:val="clear" w:pos="1080"/>
        </w:tabs>
        <w:ind w:left="900"/>
      </w:pPr>
      <w:r w:rsidRPr="00B3272B">
        <w:rPr>
          <w:shd w:val="clear" w:color="auto" w:fill="FFFFFF"/>
        </w:rPr>
        <w:t xml:space="preserve">Both cardholders and non-cardholders may request to borrow circulating materials from the Law Library through </w:t>
      </w:r>
      <w:r>
        <w:rPr>
          <w:shd w:val="clear" w:color="auto" w:fill="FFFFFF"/>
        </w:rPr>
        <w:t>local</w:t>
      </w:r>
      <w:r w:rsidRPr="00B3272B">
        <w:rPr>
          <w:shd w:val="clear" w:color="auto" w:fill="FFFFFF"/>
        </w:rPr>
        <w:t xml:space="preserve"> public libraries through interlibrary loan agreements.</w:t>
      </w:r>
    </w:p>
    <w:p w14:paraId="1F7DB92F" w14:textId="77777777" w:rsidR="00B3272B" w:rsidRPr="00B3272B" w:rsidRDefault="00B3272B" w:rsidP="00B3272B">
      <w:pPr>
        <w:pStyle w:val="ListParagraph"/>
        <w:spacing w:line="300" w:lineRule="atLeast"/>
        <w:ind w:left="360"/>
        <w:rPr>
          <w:rFonts w:cs="Arial"/>
          <w:b/>
          <w:bCs/>
          <w:spacing w:val="8"/>
        </w:rPr>
      </w:pPr>
    </w:p>
    <w:p w14:paraId="3535F49A" w14:textId="77777777" w:rsidR="00B3272B" w:rsidRPr="00B3272B" w:rsidRDefault="00B3272B" w:rsidP="00B3272B">
      <w:pPr>
        <w:pStyle w:val="Heading1"/>
      </w:pPr>
      <w:r w:rsidRPr="00B3272B">
        <w:t xml:space="preserve">Materials </w:t>
      </w:r>
    </w:p>
    <w:p w14:paraId="71F57815" w14:textId="77777777" w:rsidR="00B3272B" w:rsidRPr="00B3272B" w:rsidRDefault="00B3272B" w:rsidP="00B3272B">
      <w:pPr>
        <w:pStyle w:val="ListParagraph"/>
        <w:spacing w:line="300" w:lineRule="atLeast"/>
        <w:ind w:left="792"/>
        <w:rPr>
          <w:rFonts w:cs="Arial"/>
          <w:spacing w:val="8"/>
        </w:rPr>
      </w:pPr>
    </w:p>
    <w:p w14:paraId="710CAA0C" w14:textId="3103BADD" w:rsidR="00B3272B" w:rsidRPr="00B3272B" w:rsidRDefault="00B3272B" w:rsidP="00222F4D">
      <w:pPr>
        <w:pStyle w:val="Heading2"/>
        <w:tabs>
          <w:tab w:val="clear" w:pos="1080"/>
        </w:tabs>
        <w:ind w:left="900"/>
      </w:pPr>
      <w:r w:rsidRPr="00B3272B">
        <w:rPr>
          <w:shd w:val="clear" w:color="auto" w:fill="FFFFFF"/>
        </w:rPr>
        <w:t>Only those materials designated as circulating may be checked out. Non-circulating items include those items found in the reserve collection, looseleaf sets, reference books, digests, citators, and rare books.</w:t>
      </w:r>
      <w:r w:rsidR="00384089">
        <w:rPr>
          <w:shd w:val="clear" w:color="auto" w:fill="FFFFFF"/>
        </w:rPr>
        <w:t xml:space="preserve"> </w:t>
      </w:r>
      <w:r w:rsidR="008B2745">
        <w:rPr>
          <w:shd w:val="clear" w:color="auto" w:fill="FFFFFF"/>
        </w:rPr>
        <w:t xml:space="preserve">Members of the Montana Supreme Court and their law clerks may have borrowing rights to non-circulating items. </w:t>
      </w:r>
      <w:r w:rsidRPr="00B3272B">
        <w:rPr>
          <w:shd w:val="clear" w:color="auto" w:fill="FFFFFF"/>
        </w:rPr>
        <w:t>Materials ordinarily subject to borrowing may be withdrawn from circulation at the discretion of the Law Library.</w:t>
      </w:r>
    </w:p>
    <w:p w14:paraId="0DE48845" w14:textId="77777777" w:rsidR="00B3272B" w:rsidRPr="00B3272B" w:rsidRDefault="00B3272B" w:rsidP="00B3272B">
      <w:pPr>
        <w:pStyle w:val="ListParagraph"/>
        <w:spacing w:line="300" w:lineRule="atLeast"/>
        <w:ind w:left="900" w:hanging="540"/>
        <w:rPr>
          <w:rFonts w:cs="Arial"/>
          <w:spacing w:val="8"/>
        </w:rPr>
      </w:pPr>
    </w:p>
    <w:p w14:paraId="134C86ED" w14:textId="6204D8C2" w:rsidR="00B3272B" w:rsidRPr="00B3272B" w:rsidRDefault="00B3272B" w:rsidP="00222F4D">
      <w:pPr>
        <w:pStyle w:val="Heading2"/>
        <w:tabs>
          <w:tab w:val="clear" w:pos="1080"/>
        </w:tabs>
        <w:ind w:left="900"/>
      </w:pPr>
      <w:r w:rsidRPr="00B3272B">
        <w:rPr>
          <w:shd w:val="clear" w:color="auto" w:fill="FFFFFF"/>
        </w:rPr>
        <w:t xml:space="preserve">Materials may be borrowed for twenty-eight (28) days. CLE materials may be borrowed for fourteen (14) days. There are no limits on the </w:t>
      </w:r>
      <w:r w:rsidR="00D0161E">
        <w:rPr>
          <w:shd w:val="clear" w:color="auto" w:fill="FFFFFF"/>
        </w:rPr>
        <w:lastRenderedPageBreak/>
        <w:t xml:space="preserve">number of </w:t>
      </w:r>
      <w:r w:rsidRPr="00B3272B">
        <w:rPr>
          <w:shd w:val="clear" w:color="auto" w:fill="FFFFFF"/>
        </w:rPr>
        <w:t>general materials</w:t>
      </w:r>
      <w:r w:rsidR="00D0161E">
        <w:rPr>
          <w:shd w:val="clear" w:color="auto" w:fill="FFFFFF"/>
        </w:rPr>
        <w:t xml:space="preserve"> that can be borrowed</w:t>
      </w:r>
      <w:r w:rsidRPr="00B3272B">
        <w:rPr>
          <w:shd w:val="clear" w:color="auto" w:fill="FFFFFF"/>
        </w:rPr>
        <w:t xml:space="preserve">; only one title of CLE materials may be borrowed at one time. </w:t>
      </w:r>
    </w:p>
    <w:p w14:paraId="79E0ECFD" w14:textId="77777777" w:rsidR="00B3272B" w:rsidRPr="00B3272B" w:rsidRDefault="00B3272B" w:rsidP="00B3272B">
      <w:pPr>
        <w:pStyle w:val="ListParagraph"/>
        <w:spacing w:line="300" w:lineRule="atLeast"/>
        <w:ind w:left="900" w:hanging="540"/>
        <w:rPr>
          <w:rFonts w:cs="Arial"/>
          <w:spacing w:val="8"/>
        </w:rPr>
      </w:pPr>
    </w:p>
    <w:p w14:paraId="56A8E500" w14:textId="77777777" w:rsidR="00D3477D" w:rsidRDefault="00B3272B" w:rsidP="00222F4D">
      <w:pPr>
        <w:pStyle w:val="Heading2"/>
        <w:tabs>
          <w:tab w:val="clear" w:pos="1080"/>
        </w:tabs>
        <w:ind w:left="900"/>
        <w:rPr>
          <w:shd w:val="clear" w:color="auto" w:fill="FFFFFF"/>
        </w:rPr>
      </w:pPr>
      <w:r w:rsidRPr="00B3272B">
        <w:rPr>
          <w:shd w:val="clear" w:color="auto" w:fill="FFFFFF"/>
        </w:rPr>
        <w:t>Books and materials that are over twenty-eight (28) days overdue are considered lost.</w:t>
      </w:r>
    </w:p>
    <w:p w14:paraId="70724C7A" w14:textId="77777777" w:rsidR="00D3477D" w:rsidRPr="00D3477D" w:rsidRDefault="00D3477D" w:rsidP="00D3477D"/>
    <w:p w14:paraId="44F09D45" w14:textId="0CC09E3B" w:rsidR="00B3272B" w:rsidRDefault="006C0220" w:rsidP="00222F4D">
      <w:pPr>
        <w:pStyle w:val="Heading2"/>
        <w:tabs>
          <w:tab w:val="clear" w:pos="1080"/>
        </w:tabs>
        <w:ind w:left="900"/>
        <w:rPr>
          <w:color w:val="000000"/>
          <w:shd w:val="clear" w:color="auto" w:fill="FFFFFF"/>
        </w:rPr>
      </w:pPr>
      <w:r>
        <w:rPr>
          <w:color w:val="000000"/>
          <w:shd w:val="clear" w:color="auto" w:fill="FFFFFF"/>
        </w:rPr>
        <w:t xml:space="preserve">Damaged or lost books are addressed </w:t>
      </w:r>
      <w:r w:rsidR="00D22473">
        <w:rPr>
          <w:color w:val="000000"/>
          <w:shd w:val="clear" w:color="auto" w:fill="FFFFFF"/>
        </w:rPr>
        <w:t>by</w:t>
      </w:r>
      <w:r>
        <w:rPr>
          <w:color w:val="000000"/>
          <w:shd w:val="clear" w:color="auto" w:fill="FFFFFF"/>
        </w:rPr>
        <w:t xml:space="preserve"> Mont</w:t>
      </w:r>
      <w:r w:rsidR="000768CE">
        <w:rPr>
          <w:color w:val="000000"/>
          <w:shd w:val="clear" w:color="auto" w:fill="FFFFFF"/>
        </w:rPr>
        <w:t>.</w:t>
      </w:r>
      <w:r>
        <w:rPr>
          <w:color w:val="000000"/>
          <w:shd w:val="clear" w:color="auto" w:fill="FFFFFF"/>
        </w:rPr>
        <w:t xml:space="preserve"> Code An</w:t>
      </w:r>
      <w:r w:rsidR="000768CE">
        <w:rPr>
          <w:color w:val="000000"/>
          <w:shd w:val="clear" w:color="auto" w:fill="FFFFFF"/>
        </w:rPr>
        <w:t>n</w:t>
      </w:r>
      <w:r w:rsidR="00A95A0E">
        <w:rPr>
          <w:color w:val="000000"/>
          <w:shd w:val="clear" w:color="auto" w:fill="FFFFFF"/>
        </w:rPr>
        <w:t>. §</w:t>
      </w:r>
      <w:r>
        <w:rPr>
          <w:color w:val="000000"/>
          <w:shd w:val="clear" w:color="auto" w:fill="FFFFFF"/>
        </w:rPr>
        <w:t xml:space="preserve"> 22-1-506</w:t>
      </w:r>
      <w:r w:rsidR="00A95A0E">
        <w:rPr>
          <w:color w:val="000000"/>
          <w:shd w:val="clear" w:color="auto" w:fill="FFFFFF"/>
        </w:rPr>
        <w:t>, which states:</w:t>
      </w:r>
      <w:r w:rsidR="000C7982" w:rsidRPr="000C7982">
        <w:t xml:space="preserve"> </w:t>
      </w:r>
      <w:r w:rsidR="000C7982">
        <w:t>“</w:t>
      </w:r>
      <w:r w:rsidR="000C7982" w:rsidRPr="000C7982">
        <w:rPr>
          <w:color w:val="000000"/>
          <w:shd w:val="clear" w:color="auto" w:fill="FFFFFF"/>
        </w:rPr>
        <w:t>A person who defaces, tears, or otherwise injures any book or other work or who fails to return any book taken by the person is liable to the state in three times the value of the book if the book is not replaced by a new one or another book of identical title, in good order and condition. A statute of limitations may not ever be effective against the claim of the state under this section.</w:t>
      </w:r>
      <w:r w:rsidR="000C7982">
        <w:rPr>
          <w:color w:val="000000"/>
          <w:shd w:val="clear" w:color="auto" w:fill="FFFFFF"/>
        </w:rPr>
        <w:t>”</w:t>
      </w:r>
    </w:p>
    <w:p w14:paraId="1FFFD5AF" w14:textId="77777777" w:rsidR="00A95A0E" w:rsidRPr="00A95A0E" w:rsidRDefault="00A95A0E" w:rsidP="00A95A0E"/>
    <w:p w14:paraId="408C014B" w14:textId="77777777" w:rsidR="00B3272B" w:rsidRPr="00B3272B" w:rsidRDefault="00B3272B" w:rsidP="00B3272B"/>
    <w:p w14:paraId="00175E95" w14:textId="77777777" w:rsidR="00500358" w:rsidRDefault="00500358">
      <w:pPr>
        <w:pStyle w:val="Heading1"/>
      </w:pPr>
      <w:r w:rsidRPr="00B3272B">
        <w:t>Closing</w:t>
      </w:r>
    </w:p>
    <w:p w14:paraId="429C0D69" w14:textId="77777777" w:rsidR="00B3272B" w:rsidRPr="00B3272B" w:rsidRDefault="00B3272B" w:rsidP="00B3272B"/>
    <w:p w14:paraId="0499C6D1" w14:textId="39B5A8C1" w:rsidR="00500358" w:rsidRPr="00B3272B" w:rsidRDefault="00500358" w:rsidP="00222F4D">
      <w:pPr>
        <w:pStyle w:val="Heading2"/>
        <w:numPr>
          <w:ilvl w:val="0"/>
          <w:numId w:val="0"/>
        </w:numPr>
        <w:ind w:left="360"/>
      </w:pPr>
      <w:r w:rsidRPr="00B3272B">
        <w:t xml:space="preserve">Questions concerning this policy should be directed to the </w:t>
      </w:r>
      <w:r w:rsidR="00B3272B">
        <w:t>Law Librarian</w:t>
      </w:r>
      <w:r w:rsidRPr="00B3272B">
        <w:t xml:space="preserve">. </w:t>
      </w:r>
    </w:p>
    <w:p w14:paraId="1A6CE278" w14:textId="77777777" w:rsidR="00500358" w:rsidRPr="00B3272B" w:rsidRDefault="00500358">
      <w:pPr>
        <w:rPr>
          <w:rFonts w:cs="Arial"/>
        </w:rPr>
      </w:pPr>
    </w:p>
    <w:p w14:paraId="5E38E551" w14:textId="77777777" w:rsidR="00500358" w:rsidRPr="00B3272B" w:rsidRDefault="00500358">
      <w:pPr>
        <w:pStyle w:val="Heading2"/>
        <w:numPr>
          <w:ilvl w:val="0"/>
          <w:numId w:val="0"/>
        </w:numPr>
        <w:ind w:left="540"/>
      </w:pPr>
    </w:p>
    <w:sectPr w:rsidR="00500358" w:rsidRPr="00B3272B">
      <w:footerReference w:type="even" r:id="rId11"/>
      <w:footerReference w:type="default" r:id="rId12"/>
      <w:pgSz w:w="12240" w:h="15840"/>
      <w:pgMar w:top="1152"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ABD5" w14:textId="77777777" w:rsidR="00860265" w:rsidRDefault="00860265">
      <w:r>
        <w:separator/>
      </w:r>
    </w:p>
  </w:endnote>
  <w:endnote w:type="continuationSeparator" w:id="0">
    <w:p w14:paraId="580F494C" w14:textId="77777777" w:rsidR="00860265" w:rsidRDefault="0086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E086" w14:textId="77777777" w:rsidR="00371C53" w:rsidRDefault="00371C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9C2C20" w14:textId="77777777" w:rsidR="00371C53" w:rsidRDefault="00371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888F" w14:textId="77777777" w:rsidR="00371C53" w:rsidRDefault="00371C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7DF3">
      <w:rPr>
        <w:rStyle w:val="PageNumber"/>
        <w:noProof/>
      </w:rPr>
      <w:t>1</w:t>
    </w:r>
    <w:r>
      <w:rPr>
        <w:rStyle w:val="PageNumber"/>
      </w:rPr>
      <w:fldChar w:fldCharType="end"/>
    </w:r>
  </w:p>
  <w:p w14:paraId="3560BF00" w14:textId="77777777" w:rsidR="00371C53" w:rsidRDefault="00371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ADC6" w14:textId="77777777" w:rsidR="00860265" w:rsidRDefault="00860265">
      <w:r>
        <w:separator/>
      </w:r>
    </w:p>
  </w:footnote>
  <w:footnote w:type="continuationSeparator" w:id="0">
    <w:p w14:paraId="60417601" w14:textId="77777777" w:rsidR="00860265" w:rsidRDefault="00860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95A4C"/>
    <w:multiLevelType w:val="multilevel"/>
    <w:tmpl w:val="11FA2620"/>
    <w:lvl w:ilvl="0">
      <w:start w:val="1"/>
      <w:numFmt w:val="decimal"/>
      <w:pStyle w:val="Heading1"/>
      <w:lvlText w:val="%1."/>
      <w:lvlJc w:val="left"/>
      <w:pPr>
        <w:tabs>
          <w:tab w:val="num" w:pos="360"/>
        </w:tabs>
        <w:ind w:left="360" w:hanging="360"/>
      </w:pPr>
      <w:rPr>
        <w:rFonts w:hint="default"/>
        <w:b/>
        <w:bCs w:val="0"/>
        <w:i w:val="0"/>
      </w:rPr>
    </w:lvl>
    <w:lvl w:ilvl="1">
      <w:start w:val="1"/>
      <w:numFmt w:val="decimal"/>
      <w:pStyle w:val="Heading2"/>
      <w:lvlText w:val="%1.%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 w15:restartNumberingAfterBreak="0">
    <w:nsid w:val="7A3A594D"/>
    <w:multiLevelType w:val="multilevel"/>
    <w:tmpl w:val="434C216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32459128">
    <w:abstractNumId w:val="0"/>
  </w:num>
  <w:num w:numId="2" w16cid:durableId="2034990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322"/>
    <w:rsid w:val="000768CE"/>
    <w:rsid w:val="000B20F5"/>
    <w:rsid w:val="000C7982"/>
    <w:rsid w:val="000E6402"/>
    <w:rsid w:val="00177591"/>
    <w:rsid w:val="001C51E5"/>
    <w:rsid w:val="00222F4D"/>
    <w:rsid w:val="00253C11"/>
    <w:rsid w:val="00284BB5"/>
    <w:rsid w:val="0028651F"/>
    <w:rsid w:val="00291C6C"/>
    <w:rsid w:val="002C3553"/>
    <w:rsid w:val="002D5E10"/>
    <w:rsid w:val="003024AD"/>
    <w:rsid w:val="00371C53"/>
    <w:rsid w:val="00384089"/>
    <w:rsid w:val="003A0C6D"/>
    <w:rsid w:val="003F0448"/>
    <w:rsid w:val="00457192"/>
    <w:rsid w:val="004B643C"/>
    <w:rsid w:val="004D13A8"/>
    <w:rsid w:val="004F4210"/>
    <w:rsid w:val="00500358"/>
    <w:rsid w:val="005556CA"/>
    <w:rsid w:val="005A1E44"/>
    <w:rsid w:val="005F24D1"/>
    <w:rsid w:val="00640934"/>
    <w:rsid w:val="006B5ECF"/>
    <w:rsid w:val="006C0220"/>
    <w:rsid w:val="006D0642"/>
    <w:rsid w:val="00721BA8"/>
    <w:rsid w:val="00763B2C"/>
    <w:rsid w:val="007B78FD"/>
    <w:rsid w:val="007C2322"/>
    <w:rsid w:val="00813D64"/>
    <w:rsid w:val="00814F21"/>
    <w:rsid w:val="00826926"/>
    <w:rsid w:val="00835FDF"/>
    <w:rsid w:val="00860265"/>
    <w:rsid w:val="0089197C"/>
    <w:rsid w:val="008B2745"/>
    <w:rsid w:val="00921882"/>
    <w:rsid w:val="0094131E"/>
    <w:rsid w:val="00955B8C"/>
    <w:rsid w:val="00986B15"/>
    <w:rsid w:val="009C7DF3"/>
    <w:rsid w:val="00A67AB4"/>
    <w:rsid w:val="00A75D37"/>
    <w:rsid w:val="00A7665F"/>
    <w:rsid w:val="00A95A0E"/>
    <w:rsid w:val="00AB2854"/>
    <w:rsid w:val="00B3272B"/>
    <w:rsid w:val="00B74C9D"/>
    <w:rsid w:val="00BB0143"/>
    <w:rsid w:val="00BB0C40"/>
    <w:rsid w:val="00BE1567"/>
    <w:rsid w:val="00BF65D3"/>
    <w:rsid w:val="00C61E72"/>
    <w:rsid w:val="00CA02A6"/>
    <w:rsid w:val="00CC39EC"/>
    <w:rsid w:val="00D0161E"/>
    <w:rsid w:val="00D04F00"/>
    <w:rsid w:val="00D22473"/>
    <w:rsid w:val="00D31C6A"/>
    <w:rsid w:val="00D3477D"/>
    <w:rsid w:val="00D8390C"/>
    <w:rsid w:val="00D93CC5"/>
    <w:rsid w:val="00DF544C"/>
    <w:rsid w:val="00E0186B"/>
    <w:rsid w:val="00E127C6"/>
    <w:rsid w:val="00E302D1"/>
    <w:rsid w:val="00EE4382"/>
    <w:rsid w:val="00F266BD"/>
    <w:rsid w:val="00F26AC4"/>
    <w:rsid w:val="00F41150"/>
    <w:rsid w:val="00F9242D"/>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8E085"/>
  <w15:chartTrackingRefBased/>
  <w15:docId w15:val="{E4D6F538-2892-45E6-8BEB-86AEEC47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numPr>
        <w:numId w:val="1"/>
      </w:numPr>
      <w:outlineLvl w:val="0"/>
    </w:pPr>
    <w:rPr>
      <w:rFonts w:cs="Arial"/>
      <w:b/>
      <w:bCs/>
      <w:kern w:val="32"/>
      <w:szCs w:val="32"/>
    </w:rPr>
  </w:style>
  <w:style w:type="paragraph" w:styleId="Heading2">
    <w:name w:val="heading 2"/>
    <w:basedOn w:val="Normal"/>
    <w:next w:val="Normal"/>
    <w:qFormat/>
    <w:pPr>
      <w:keepNext/>
      <w:numPr>
        <w:ilvl w:val="1"/>
        <w:numId w:val="1"/>
      </w:numPr>
      <w:ind w:left="1080" w:hanging="540"/>
      <w:outlineLvl w:val="1"/>
    </w:pPr>
    <w:rPr>
      <w:rFonts w:cs="Arial"/>
      <w:bCs/>
      <w:iCs/>
      <w:szCs w:val="28"/>
    </w:rPr>
  </w:style>
  <w:style w:type="paragraph" w:styleId="Heading3">
    <w:name w:val="heading 3"/>
    <w:basedOn w:val="Normal"/>
    <w:next w:val="Normal"/>
    <w:qFormat/>
    <w:pPr>
      <w:keepNext/>
      <w:numPr>
        <w:ilvl w:val="2"/>
        <w:numId w:val="1"/>
      </w:numPr>
      <w:spacing w:before="240" w:after="60"/>
      <w:outlineLvl w:val="2"/>
    </w:pPr>
    <w:rPr>
      <w:rFonts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pPr>
      <w:ind w:left="547"/>
    </w:pPr>
  </w:style>
  <w:style w:type="paragraph" w:customStyle="1" w:styleId="HeadingTitle">
    <w:name w:val="HeadingTitle"/>
    <w:basedOn w:val="Normal"/>
    <w:rPr>
      <w:b/>
      <w:sz w:val="32"/>
    </w:rPr>
  </w:style>
  <w:style w:type="paragraph" w:styleId="Title">
    <w:name w:val="Title"/>
    <w:basedOn w:val="Normal"/>
    <w:qFormat/>
    <w:pPr>
      <w:jc w:val="center"/>
    </w:pPr>
    <w:rPr>
      <w:rFonts w:cs="Arial"/>
      <w:b/>
      <w:sz w:val="28"/>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5556CA"/>
    <w:pPr>
      <w:ind w:left="720"/>
      <w:contextualSpacing/>
    </w:pPr>
  </w:style>
  <w:style w:type="paragraph" w:styleId="BalloonText">
    <w:name w:val="Balloon Text"/>
    <w:basedOn w:val="Normal"/>
    <w:link w:val="BalloonTextChar"/>
    <w:uiPriority w:val="99"/>
    <w:semiHidden/>
    <w:unhideWhenUsed/>
    <w:rsid w:val="000B20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0F5"/>
    <w:rPr>
      <w:rFonts w:ascii="Segoe UI" w:hAnsi="Segoe UI" w:cs="Segoe UI"/>
      <w:sz w:val="18"/>
      <w:szCs w:val="18"/>
    </w:rPr>
  </w:style>
  <w:style w:type="paragraph" w:styleId="Revision">
    <w:name w:val="Revision"/>
    <w:hidden/>
    <w:uiPriority w:val="99"/>
    <w:semiHidden/>
    <w:rsid w:val="00F266BD"/>
    <w:rPr>
      <w:rFonts w:ascii="Arial" w:hAnsi="Arial"/>
      <w:sz w:val="24"/>
      <w:szCs w:val="24"/>
    </w:rPr>
  </w:style>
  <w:style w:type="character" w:styleId="CommentReference">
    <w:name w:val="annotation reference"/>
    <w:basedOn w:val="DefaultParagraphFont"/>
    <w:uiPriority w:val="99"/>
    <w:semiHidden/>
    <w:unhideWhenUsed/>
    <w:rsid w:val="00F266BD"/>
    <w:rPr>
      <w:sz w:val="16"/>
      <w:szCs w:val="16"/>
    </w:rPr>
  </w:style>
  <w:style w:type="paragraph" w:styleId="CommentText">
    <w:name w:val="annotation text"/>
    <w:basedOn w:val="Normal"/>
    <w:link w:val="CommentTextChar"/>
    <w:uiPriority w:val="99"/>
    <w:semiHidden/>
    <w:unhideWhenUsed/>
    <w:rsid w:val="00F266BD"/>
    <w:rPr>
      <w:sz w:val="20"/>
      <w:szCs w:val="20"/>
    </w:rPr>
  </w:style>
  <w:style w:type="character" w:customStyle="1" w:styleId="CommentTextChar">
    <w:name w:val="Comment Text Char"/>
    <w:basedOn w:val="DefaultParagraphFont"/>
    <w:link w:val="CommentText"/>
    <w:uiPriority w:val="99"/>
    <w:semiHidden/>
    <w:rsid w:val="00F266BD"/>
    <w:rPr>
      <w:rFonts w:ascii="Arial" w:hAnsi="Arial"/>
    </w:rPr>
  </w:style>
  <w:style w:type="paragraph" w:styleId="CommentSubject">
    <w:name w:val="annotation subject"/>
    <w:basedOn w:val="CommentText"/>
    <w:next w:val="CommentText"/>
    <w:link w:val="CommentSubjectChar"/>
    <w:uiPriority w:val="99"/>
    <w:semiHidden/>
    <w:unhideWhenUsed/>
    <w:rsid w:val="00F266BD"/>
    <w:rPr>
      <w:b/>
      <w:bCs/>
    </w:rPr>
  </w:style>
  <w:style w:type="character" w:customStyle="1" w:styleId="CommentSubjectChar">
    <w:name w:val="Comment Subject Char"/>
    <w:basedOn w:val="CommentTextChar"/>
    <w:link w:val="CommentSubject"/>
    <w:uiPriority w:val="99"/>
    <w:semiHidden/>
    <w:rsid w:val="00F266B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35FA510BCAAD4B9930973C01794B1F" ma:contentTypeVersion="15" ma:contentTypeDescription="Create a new document." ma:contentTypeScope="" ma:versionID="3d6b462f5d13db8c19daa3adb143c67d">
  <xsd:schema xmlns:xsd="http://www.w3.org/2001/XMLSchema" xmlns:xs="http://www.w3.org/2001/XMLSchema" xmlns:p="http://schemas.microsoft.com/office/2006/metadata/properties" xmlns:ns1="http://schemas.microsoft.com/sharepoint/v3" xmlns:ns2="747b34a9-a701-4d01-8b2f-6a1f73a0809b" xmlns:ns3="9aa02b46-d547-43e4-8459-c16a5db15680" targetNamespace="http://schemas.microsoft.com/office/2006/metadata/properties" ma:root="true" ma:fieldsID="41a16d8ca1484ee407659466ad4b7d21" ns1:_="" ns2:_="" ns3:_="">
    <xsd:import namespace="http://schemas.microsoft.com/sharepoint/v3"/>
    <xsd:import namespace="747b34a9-a701-4d01-8b2f-6a1f73a0809b"/>
    <xsd:import namespace="9aa02b46-d547-43e4-8459-c16a5db1568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b34a9-a701-4d01-8b2f-6a1f73a08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02b46-d547-43e4-8459-c16a5db1568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1cba95-9548-40e0-af25-e4cffaadf1af}" ma:internalName="TaxCatchAll" ma:showField="CatchAllData" ma:web="9aa02b46-d547-43e4-8459-c16a5db1568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a02b46-d547-43e4-8459-c16a5db15680" xsi:nil="true"/>
    <lcf76f155ced4ddcb4097134ff3c332f xmlns="747b34a9-a701-4d01-8b2f-6a1f73a0809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9aa02b46-d547-43e4-8459-c16a5db15680">
      <UserInfo>
        <DisplayName>Cook, Kevin</DisplayName>
        <AccountId>15</AccountId>
        <AccountType/>
      </UserInfo>
    </SharedWithUsers>
  </documentManagement>
</p:properties>
</file>

<file path=customXml/itemProps1.xml><?xml version="1.0" encoding="utf-8"?>
<ds:datastoreItem xmlns:ds="http://schemas.openxmlformats.org/officeDocument/2006/customXml" ds:itemID="{8C3E6857-5473-42D1-88F4-F8B82E20D5C0}">
  <ds:schemaRefs>
    <ds:schemaRef ds:uri="http://schemas.openxmlformats.org/officeDocument/2006/bibliography"/>
  </ds:schemaRefs>
</ds:datastoreItem>
</file>

<file path=customXml/itemProps2.xml><?xml version="1.0" encoding="utf-8"?>
<ds:datastoreItem xmlns:ds="http://schemas.openxmlformats.org/officeDocument/2006/customXml" ds:itemID="{C925F4FE-2AA9-45EF-A6B2-893B674E0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7b34a9-a701-4d01-8b2f-6a1f73a0809b"/>
    <ds:schemaRef ds:uri="9aa02b46-d547-43e4-8459-c16a5db15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F5322-A8DC-4F78-A2F3-59F3A2799F40}">
  <ds:schemaRefs>
    <ds:schemaRef ds:uri="http://schemas.microsoft.com/sharepoint/v3/contenttype/forms"/>
  </ds:schemaRefs>
</ds:datastoreItem>
</file>

<file path=customXml/itemProps4.xml><?xml version="1.0" encoding="utf-8"?>
<ds:datastoreItem xmlns:ds="http://schemas.openxmlformats.org/officeDocument/2006/customXml" ds:itemID="{0E6932DA-8C3E-46E1-B91E-95A6F2BFDE9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aa02b46-d547-43e4-8459-c16a5db15680"/>
    <ds:schemaRef ds:uri="http://purl.org/dc/elements/1.1/"/>
    <ds:schemaRef ds:uri="http://schemas.microsoft.com/office/2006/metadata/properties"/>
    <ds:schemaRef ds:uri="http://schemas.microsoft.com/sharepoint/v3"/>
    <ds:schemaRef ds:uri="747b34a9-a701-4d01-8b2f-6a1f73a0809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401</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Montana Judicial Branch</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Judicial Branch</dc:title>
  <dc:subject/>
  <dc:creator>User</dc:creator>
  <cp:keywords/>
  <dc:description/>
  <cp:lastModifiedBy>Runge, Franklin</cp:lastModifiedBy>
  <cp:revision>24</cp:revision>
  <cp:lastPrinted>2022-04-05T20:59:00Z</cp:lastPrinted>
  <dcterms:created xsi:type="dcterms:W3CDTF">2023-07-26T14:59:00Z</dcterms:created>
  <dcterms:modified xsi:type="dcterms:W3CDTF">2023-11-14T22:50:00Z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0x0101009835FA510BCAAD4B9930973C01794B1F</vt:lpwstr>
  </property>
  <property fmtid="{D5CDD505-2E9C-101B-9397-08002B2CF9AE}" pid="3" name="MediaServiceImageTags">
    <vt:lpwstr/>
  </property>
</Properties>
</file>